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988A7" w14:textId="53AC4683" w:rsidR="00EE0917" w:rsidRDefault="00EE0917" w:rsidP="009A6717">
      <w:pPr>
        <w:spacing w:before="120" w:after="0" w:line="240" w:lineRule="auto"/>
        <w:ind w:firstLine="709"/>
        <w:jc w:val="center"/>
        <w:rPr>
          <w:rFonts w:ascii="Times New Roman" w:hAnsi="Times New Roman" w:cs="Times New Roman"/>
          <w:b/>
          <w:bCs/>
          <w:sz w:val="26"/>
          <w:szCs w:val="26"/>
        </w:rPr>
      </w:pPr>
      <w:r w:rsidRPr="0009007C">
        <w:rPr>
          <w:rFonts w:ascii="Times New Roman" w:hAnsi="Times New Roman" w:cs="Times New Roman"/>
          <w:b/>
          <w:bCs/>
          <w:sz w:val="26"/>
          <w:szCs w:val="26"/>
        </w:rPr>
        <w:t>ĐỀ TÀI: MỘT SỐ QUY ĐỊNH CỦA PHÁP LUẬT TỐ TỤNG HÌNH SỰ TRUNG QUỐC ĐỐI VỚI NGƯỜI CHƯA THÀNH NIÊN</w:t>
      </w:r>
      <w:r w:rsidR="00D47BEB">
        <w:rPr>
          <w:rFonts w:ascii="Times New Roman" w:hAnsi="Times New Roman" w:cs="Times New Roman"/>
          <w:b/>
          <w:bCs/>
          <w:sz w:val="26"/>
          <w:szCs w:val="26"/>
        </w:rPr>
        <w:t xml:space="preserve"> BỊ BUỘC TỘI</w:t>
      </w:r>
      <w:r w:rsidRPr="0009007C">
        <w:rPr>
          <w:rFonts w:ascii="Times New Roman" w:hAnsi="Times New Roman" w:cs="Times New Roman"/>
          <w:b/>
          <w:bCs/>
          <w:sz w:val="26"/>
          <w:szCs w:val="26"/>
        </w:rPr>
        <w:t xml:space="preserve"> VÀ GỢI MỞ CHO PHÁP LUẬT TỐ TỤNG HÌNH SỰ VIỆT NAM</w:t>
      </w:r>
    </w:p>
    <w:p w14:paraId="1ADC3BEC" w14:textId="77777777" w:rsidR="00EE0917" w:rsidRDefault="00EE0917" w:rsidP="009A6717">
      <w:pPr>
        <w:spacing w:before="120" w:after="0" w:line="240" w:lineRule="auto"/>
        <w:ind w:firstLine="709"/>
        <w:jc w:val="center"/>
        <w:rPr>
          <w:rFonts w:ascii="Times New Roman" w:hAnsi="Times New Roman" w:cs="Times New Roman"/>
          <w:b/>
          <w:bCs/>
          <w:sz w:val="26"/>
          <w:szCs w:val="26"/>
        </w:rPr>
      </w:pPr>
    </w:p>
    <w:p w14:paraId="0DF38AA1" w14:textId="77777777" w:rsidR="00EE0917" w:rsidRPr="0009007C" w:rsidRDefault="00EE0917" w:rsidP="009A6717">
      <w:pPr>
        <w:spacing w:before="120" w:after="0" w:line="240" w:lineRule="auto"/>
        <w:ind w:firstLine="709"/>
        <w:jc w:val="right"/>
        <w:rPr>
          <w:rFonts w:ascii="Times New Roman" w:hAnsi="Times New Roman" w:cs="Times New Roman"/>
          <w:b/>
          <w:bCs/>
          <w:sz w:val="26"/>
          <w:szCs w:val="26"/>
        </w:rPr>
      </w:pPr>
      <w:r>
        <w:rPr>
          <w:rFonts w:ascii="Times New Roman" w:hAnsi="Times New Roman" w:cs="Times New Roman"/>
          <w:b/>
          <w:bCs/>
          <w:sz w:val="26"/>
          <w:szCs w:val="26"/>
        </w:rPr>
        <w:t>Tác giả: Phạm Ngọc Hải</w:t>
      </w:r>
      <w:r>
        <w:rPr>
          <w:rStyle w:val="FootnoteReference"/>
          <w:rFonts w:ascii="Times New Roman" w:hAnsi="Times New Roman" w:cs="Times New Roman"/>
          <w:b/>
          <w:bCs/>
          <w:sz w:val="26"/>
          <w:szCs w:val="26"/>
        </w:rPr>
        <w:footnoteReference w:id="1"/>
      </w:r>
      <w:r>
        <w:rPr>
          <w:rFonts w:ascii="Times New Roman" w:hAnsi="Times New Roman" w:cs="Times New Roman"/>
          <w:b/>
          <w:bCs/>
          <w:sz w:val="26"/>
          <w:szCs w:val="26"/>
        </w:rPr>
        <w:t>, Li Chong Mao</w:t>
      </w:r>
      <w:r>
        <w:rPr>
          <w:rStyle w:val="FootnoteReference"/>
          <w:rFonts w:ascii="Times New Roman" w:hAnsi="Times New Roman" w:cs="Times New Roman"/>
          <w:b/>
          <w:bCs/>
          <w:sz w:val="26"/>
          <w:szCs w:val="26"/>
        </w:rPr>
        <w:footnoteReference w:id="2"/>
      </w:r>
      <w:r>
        <w:rPr>
          <w:rFonts w:ascii="Times New Roman" w:hAnsi="Times New Roman" w:cs="Times New Roman"/>
          <w:b/>
          <w:bCs/>
          <w:sz w:val="26"/>
          <w:szCs w:val="26"/>
        </w:rPr>
        <w:t>, Phan Thúy Hoài</w:t>
      </w:r>
      <w:r>
        <w:rPr>
          <w:rStyle w:val="FootnoteReference"/>
          <w:rFonts w:ascii="Times New Roman" w:hAnsi="Times New Roman" w:cs="Times New Roman"/>
          <w:b/>
          <w:bCs/>
          <w:sz w:val="26"/>
          <w:szCs w:val="26"/>
        </w:rPr>
        <w:footnoteReference w:id="3"/>
      </w:r>
    </w:p>
    <w:p w14:paraId="5319F750" w14:textId="77777777" w:rsidR="00EE0917" w:rsidRDefault="00EE0917" w:rsidP="009A6717">
      <w:pPr>
        <w:spacing w:before="120" w:after="0" w:line="240" w:lineRule="auto"/>
        <w:ind w:firstLine="709"/>
        <w:jc w:val="both"/>
        <w:rPr>
          <w:rFonts w:ascii="Times New Roman" w:hAnsi="Times New Roman" w:cs="Times New Roman"/>
          <w:sz w:val="26"/>
          <w:szCs w:val="26"/>
        </w:rPr>
      </w:pPr>
    </w:p>
    <w:p w14:paraId="26319414" w14:textId="70AF58F7" w:rsidR="00EE0917" w:rsidRPr="00CE5B1E" w:rsidRDefault="00EE0917" w:rsidP="009A6717">
      <w:pPr>
        <w:spacing w:before="120" w:after="0" w:line="240" w:lineRule="auto"/>
        <w:ind w:firstLine="709"/>
        <w:jc w:val="both"/>
        <w:rPr>
          <w:rFonts w:ascii="Times New Roman" w:hAnsi="Times New Roman" w:cs="Times New Roman"/>
          <w:b/>
          <w:bCs/>
          <w:i/>
          <w:iCs/>
          <w:sz w:val="26"/>
          <w:szCs w:val="26"/>
        </w:rPr>
      </w:pPr>
      <w:r w:rsidRPr="00CE5B1E">
        <w:rPr>
          <w:rFonts w:ascii="Times New Roman" w:hAnsi="Times New Roman" w:cs="Times New Roman"/>
          <w:b/>
          <w:bCs/>
          <w:i/>
          <w:iCs/>
          <w:sz w:val="26"/>
          <w:szCs w:val="26"/>
        </w:rPr>
        <w:t>Tóm tắt:</w:t>
      </w:r>
    </w:p>
    <w:p w14:paraId="47CAA513" w14:textId="40E03759" w:rsidR="00EE0917" w:rsidRDefault="00EE0917" w:rsidP="009A6717">
      <w:pPr>
        <w:spacing w:before="120" w:after="0" w:line="240" w:lineRule="auto"/>
        <w:ind w:firstLine="709"/>
        <w:jc w:val="both"/>
        <w:rPr>
          <w:rFonts w:ascii="Times New Roman" w:hAnsi="Times New Roman" w:cs="Times New Roman"/>
          <w:sz w:val="26"/>
          <w:szCs w:val="26"/>
        </w:rPr>
      </w:pPr>
      <w:r w:rsidRPr="00747748">
        <w:rPr>
          <w:rFonts w:ascii="Times New Roman" w:hAnsi="Times New Roman" w:cs="Times New Roman"/>
          <w:sz w:val="26"/>
          <w:szCs w:val="26"/>
        </w:rPr>
        <w:t>Ngày 26</w:t>
      </w:r>
      <w:r>
        <w:rPr>
          <w:rFonts w:ascii="Times New Roman" w:hAnsi="Times New Roman" w:cs="Times New Roman"/>
          <w:sz w:val="26"/>
          <w:szCs w:val="26"/>
        </w:rPr>
        <w:t>/</w:t>
      </w:r>
      <w:r w:rsidRPr="00747748">
        <w:rPr>
          <w:rFonts w:ascii="Times New Roman" w:hAnsi="Times New Roman" w:cs="Times New Roman"/>
          <w:sz w:val="26"/>
          <w:szCs w:val="26"/>
        </w:rPr>
        <w:t>10</w:t>
      </w:r>
      <w:r>
        <w:rPr>
          <w:rFonts w:ascii="Times New Roman" w:hAnsi="Times New Roman" w:cs="Times New Roman"/>
          <w:sz w:val="26"/>
          <w:szCs w:val="26"/>
        </w:rPr>
        <w:t>/</w:t>
      </w:r>
      <w:r w:rsidRPr="00747748">
        <w:rPr>
          <w:rFonts w:ascii="Times New Roman" w:hAnsi="Times New Roman" w:cs="Times New Roman"/>
          <w:sz w:val="26"/>
          <w:szCs w:val="26"/>
        </w:rPr>
        <w:t xml:space="preserve">2018, </w:t>
      </w:r>
      <w:r>
        <w:rPr>
          <w:rFonts w:ascii="Times New Roman" w:hAnsi="Times New Roman" w:cs="Times New Roman"/>
          <w:sz w:val="26"/>
          <w:szCs w:val="26"/>
        </w:rPr>
        <w:t>tại k</w:t>
      </w:r>
      <w:r w:rsidRPr="00747748">
        <w:rPr>
          <w:rFonts w:ascii="Times New Roman" w:hAnsi="Times New Roman" w:cs="Times New Roman"/>
          <w:sz w:val="26"/>
          <w:szCs w:val="26"/>
        </w:rPr>
        <w:t>ỳ họp thứ sáu</w:t>
      </w:r>
      <w:r>
        <w:rPr>
          <w:rFonts w:ascii="Times New Roman" w:hAnsi="Times New Roman" w:cs="Times New Roman"/>
          <w:sz w:val="26"/>
          <w:szCs w:val="26"/>
        </w:rPr>
        <w:t>,</w:t>
      </w:r>
      <w:r w:rsidRPr="00747748">
        <w:rPr>
          <w:rFonts w:ascii="Times New Roman" w:hAnsi="Times New Roman" w:cs="Times New Roman"/>
          <w:sz w:val="26"/>
          <w:szCs w:val="26"/>
        </w:rPr>
        <w:t xml:space="preserve"> </w:t>
      </w:r>
      <w:r w:rsidRPr="0046077F">
        <w:rPr>
          <w:rFonts w:ascii="Times New Roman" w:hAnsi="Times New Roman" w:cs="Times New Roman"/>
          <w:sz w:val="26"/>
          <w:szCs w:val="26"/>
        </w:rPr>
        <w:t>Ủy ban Thường vụ Quốc hội</w:t>
      </w:r>
      <w:r>
        <w:rPr>
          <w:rFonts w:ascii="Times New Roman" w:hAnsi="Times New Roman" w:cs="Times New Roman"/>
          <w:sz w:val="26"/>
          <w:szCs w:val="26"/>
        </w:rPr>
        <w:t xml:space="preserve"> Trung Quốc</w:t>
      </w:r>
      <w:r w:rsidRPr="0046077F">
        <w:rPr>
          <w:rFonts w:ascii="Times New Roman" w:hAnsi="Times New Roman" w:cs="Times New Roman"/>
          <w:sz w:val="26"/>
          <w:szCs w:val="26"/>
        </w:rPr>
        <w:t xml:space="preserve"> khóa XIII đã thông qua </w:t>
      </w:r>
      <w:r w:rsidRPr="001B56DA">
        <w:rPr>
          <w:rFonts w:ascii="Times New Roman" w:hAnsi="Times New Roman" w:cs="Times New Roman"/>
          <w:i/>
          <w:iCs/>
          <w:sz w:val="26"/>
          <w:szCs w:val="26"/>
        </w:rPr>
        <w:t>“Quyết định sửa đổi Luật Tố tụng hình sự nước Cộng hòa Nhân dân Trung Hoa”</w:t>
      </w:r>
      <w:r>
        <w:rPr>
          <w:rFonts w:ascii="Times New Roman" w:hAnsi="Times New Roman" w:cs="Times New Roman"/>
          <w:sz w:val="26"/>
          <w:szCs w:val="26"/>
        </w:rPr>
        <w:t>, đ</w:t>
      </w:r>
      <w:r w:rsidRPr="00747748">
        <w:rPr>
          <w:rFonts w:ascii="Times New Roman" w:hAnsi="Times New Roman" w:cs="Times New Roman"/>
          <w:sz w:val="26"/>
          <w:szCs w:val="26"/>
        </w:rPr>
        <w:t xml:space="preserve">ây là một cải cách và hoàn thiện rất quan trọng </w:t>
      </w:r>
      <w:r>
        <w:rPr>
          <w:rFonts w:ascii="Times New Roman" w:hAnsi="Times New Roman" w:cs="Times New Roman"/>
          <w:sz w:val="26"/>
          <w:szCs w:val="26"/>
        </w:rPr>
        <w:t>c</w:t>
      </w:r>
      <w:r w:rsidRPr="00747748">
        <w:rPr>
          <w:rFonts w:ascii="Times New Roman" w:hAnsi="Times New Roman" w:cs="Times New Roman"/>
          <w:sz w:val="26"/>
          <w:szCs w:val="26"/>
        </w:rPr>
        <w:t xml:space="preserve">ủa hệ thống </w:t>
      </w:r>
      <w:r>
        <w:rPr>
          <w:rFonts w:ascii="Times New Roman" w:hAnsi="Times New Roman" w:cs="Times New Roman"/>
          <w:sz w:val="26"/>
          <w:szCs w:val="26"/>
        </w:rPr>
        <w:t xml:space="preserve">luật </w:t>
      </w:r>
      <w:r w:rsidRPr="00747748">
        <w:rPr>
          <w:rFonts w:ascii="Times New Roman" w:hAnsi="Times New Roman" w:cs="Times New Roman"/>
          <w:sz w:val="26"/>
          <w:szCs w:val="26"/>
        </w:rPr>
        <w:t xml:space="preserve">tố tụng hình sự Trung Quốc sau khi </w:t>
      </w:r>
      <w:r>
        <w:rPr>
          <w:rFonts w:ascii="Times New Roman" w:hAnsi="Times New Roman" w:cs="Times New Roman"/>
          <w:sz w:val="26"/>
          <w:szCs w:val="26"/>
        </w:rPr>
        <w:t>sửa đổi</w:t>
      </w:r>
      <w:r w:rsidRPr="00747748">
        <w:rPr>
          <w:rFonts w:ascii="Times New Roman" w:hAnsi="Times New Roman" w:cs="Times New Roman"/>
          <w:sz w:val="26"/>
          <w:szCs w:val="26"/>
        </w:rPr>
        <w:t xml:space="preserve"> Luật Tố tụng hình sự</w:t>
      </w:r>
      <w:r>
        <w:rPr>
          <w:rFonts w:ascii="Times New Roman" w:hAnsi="Times New Roman" w:cs="Times New Roman"/>
          <w:sz w:val="26"/>
          <w:szCs w:val="26"/>
        </w:rPr>
        <w:t xml:space="preserve"> (TTHS)</w:t>
      </w:r>
      <w:r w:rsidRPr="00747748">
        <w:rPr>
          <w:rFonts w:ascii="Times New Roman" w:hAnsi="Times New Roman" w:cs="Times New Roman"/>
          <w:sz w:val="26"/>
          <w:szCs w:val="26"/>
        </w:rPr>
        <w:t xml:space="preserve"> năm 1996 và 2012.</w:t>
      </w:r>
      <w:r>
        <w:rPr>
          <w:rFonts w:ascii="Times New Roman" w:hAnsi="Times New Roman" w:cs="Times New Roman"/>
          <w:sz w:val="26"/>
          <w:szCs w:val="26"/>
        </w:rPr>
        <w:t xml:space="preserve"> </w:t>
      </w:r>
      <w:r w:rsidRPr="00AA5B29">
        <w:rPr>
          <w:rFonts w:ascii="Times New Roman" w:hAnsi="Times New Roman" w:cs="Times New Roman"/>
          <w:sz w:val="26"/>
          <w:szCs w:val="26"/>
        </w:rPr>
        <w:t xml:space="preserve">Ngày </w:t>
      </w:r>
      <w:r>
        <w:rPr>
          <w:rFonts w:ascii="Times New Roman" w:hAnsi="Times New Roman" w:cs="Times New Roman"/>
          <w:sz w:val="26"/>
          <w:szCs w:val="26"/>
        </w:rPr>
        <w:t>0</w:t>
      </w:r>
      <w:r w:rsidRPr="00AA5B29">
        <w:rPr>
          <w:rFonts w:ascii="Times New Roman" w:hAnsi="Times New Roman" w:cs="Times New Roman"/>
          <w:sz w:val="26"/>
          <w:szCs w:val="26"/>
        </w:rPr>
        <w:t>7</w:t>
      </w:r>
      <w:r>
        <w:rPr>
          <w:rFonts w:ascii="Times New Roman" w:hAnsi="Times New Roman" w:cs="Times New Roman"/>
          <w:sz w:val="26"/>
          <w:szCs w:val="26"/>
        </w:rPr>
        <w:t>/</w:t>
      </w:r>
      <w:r w:rsidRPr="00AA5B29">
        <w:rPr>
          <w:rFonts w:ascii="Times New Roman" w:hAnsi="Times New Roman" w:cs="Times New Roman"/>
          <w:sz w:val="26"/>
          <w:szCs w:val="26"/>
        </w:rPr>
        <w:t>12</w:t>
      </w:r>
      <w:r>
        <w:rPr>
          <w:rFonts w:ascii="Times New Roman" w:hAnsi="Times New Roman" w:cs="Times New Roman"/>
          <w:sz w:val="26"/>
          <w:szCs w:val="26"/>
        </w:rPr>
        <w:t>/</w:t>
      </w:r>
      <w:r w:rsidRPr="00AA5B29">
        <w:rPr>
          <w:rFonts w:ascii="Times New Roman" w:hAnsi="Times New Roman" w:cs="Times New Roman"/>
          <w:sz w:val="26"/>
          <w:szCs w:val="26"/>
        </w:rPr>
        <w:t xml:space="preserve">2020, </w:t>
      </w:r>
      <w:r>
        <w:rPr>
          <w:rFonts w:ascii="Times New Roman" w:hAnsi="Times New Roman" w:cs="Times New Roman"/>
          <w:sz w:val="26"/>
          <w:szCs w:val="26"/>
        </w:rPr>
        <w:t xml:space="preserve">Tòa án nhân dân tối cao Trung Quốc cũng đã có hướng dẫn chi tiết liên quan đến Luật TTHS 2018 bằng việc </w:t>
      </w:r>
      <w:r w:rsidRPr="00AA5B29">
        <w:rPr>
          <w:rFonts w:ascii="Times New Roman" w:hAnsi="Times New Roman" w:cs="Times New Roman"/>
          <w:sz w:val="26"/>
          <w:szCs w:val="26"/>
        </w:rPr>
        <w:t>thông qua</w:t>
      </w:r>
      <w:r>
        <w:rPr>
          <w:rFonts w:ascii="Times New Roman" w:hAnsi="Times New Roman" w:cs="Times New Roman"/>
          <w:sz w:val="26"/>
          <w:szCs w:val="26"/>
        </w:rPr>
        <w:t xml:space="preserve"> </w:t>
      </w:r>
      <w:r w:rsidRPr="00F523DC">
        <w:rPr>
          <w:rFonts w:ascii="Times New Roman" w:hAnsi="Times New Roman" w:cs="Times New Roman"/>
          <w:i/>
          <w:iCs/>
          <w:sz w:val="26"/>
          <w:szCs w:val="26"/>
        </w:rPr>
        <w:t>“</w:t>
      </w:r>
      <w:r w:rsidRPr="00E05B73">
        <w:rPr>
          <w:rFonts w:ascii="Times New Roman" w:hAnsi="Times New Roman" w:cs="Times New Roman"/>
          <w:i/>
          <w:iCs/>
          <w:sz w:val="26"/>
          <w:szCs w:val="26"/>
        </w:rPr>
        <w:t>Giải thích của Tòa án Nhân dân Tối cao về việc áp dụng Luật Tố tụng hình sự của Cộng hòa Nhân dân Trung Hoa</w:t>
      </w:r>
      <w:r w:rsidRPr="00F523DC">
        <w:rPr>
          <w:rFonts w:ascii="Times New Roman" w:hAnsi="Times New Roman" w:cs="Times New Roman"/>
          <w:i/>
          <w:iCs/>
          <w:sz w:val="26"/>
          <w:szCs w:val="26"/>
        </w:rPr>
        <w:t>”</w:t>
      </w:r>
      <w:r>
        <w:rPr>
          <w:rFonts w:ascii="Times New Roman" w:hAnsi="Times New Roman" w:cs="Times New Roman"/>
          <w:sz w:val="26"/>
          <w:szCs w:val="26"/>
        </w:rPr>
        <w:t>, giải thích này có hiệu lực vào ngày 01/03/2021, thay thế Giải thích của Tòa án Nhân dân Tối cao Trung Quốc năm 2012. Trong lần ban hành này, Luật TTHS Trung Quốc đã có nhiều thay đổi quan trọng, một trong số đó là việc tăng cường bảo vệ quyền và lợi ích hợp pháp của người chưa thành niên, cụ thể hóa các khái niệm và tinh thần của Luật Bảo vệ trẻ vị thành niên và Luật phòng chống tội phạm vị thành niên của Trung Quốc. Trong phạm vi bài viết này, tập thể tác giả sẽ nghiên cứu và phân tích một số quy định của Luật TTHS 2018 của Trung Quốc, từ đó, có những so sánh, đối chiếu và gợi mở cho pháp luật TTHS Việt Nam.</w:t>
      </w:r>
    </w:p>
    <w:p w14:paraId="442BA2FE" w14:textId="77777777" w:rsidR="00EE0917" w:rsidRPr="003177E6" w:rsidRDefault="00EE0917" w:rsidP="009A6717">
      <w:pPr>
        <w:spacing w:before="120" w:after="0" w:line="240" w:lineRule="auto"/>
        <w:ind w:firstLine="709"/>
        <w:jc w:val="both"/>
        <w:rPr>
          <w:rFonts w:ascii="Times New Roman" w:hAnsi="Times New Roman" w:cs="Times New Roman"/>
          <w:i/>
          <w:iCs/>
          <w:sz w:val="26"/>
          <w:szCs w:val="26"/>
        </w:rPr>
      </w:pPr>
      <w:r w:rsidRPr="00CE5B1E">
        <w:rPr>
          <w:rFonts w:ascii="Times New Roman" w:hAnsi="Times New Roman" w:cs="Times New Roman"/>
          <w:b/>
          <w:bCs/>
          <w:i/>
          <w:iCs/>
          <w:sz w:val="26"/>
          <w:szCs w:val="26"/>
        </w:rPr>
        <w:t>Từ khóa:</w:t>
      </w:r>
      <w:r w:rsidRPr="00513D9D">
        <w:rPr>
          <w:rFonts w:ascii="Times New Roman" w:hAnsi="Times New Roman" w:cs="Times New Roman"/>
          <w:i/>
          <w:iCs/>
          <w:sz w:val="26"/>
          <w:szCs w:val="26"/>
        </w:rPr>
        <w:t xml:space="preserve"> Luật Tố tụng hình sự Trung Quốc, Bộ Luật Tố tụng Hình sự Việt Nam, người chưa thành niên.</w:t>
      </w:r>
    </w:p>
    <w:p w14:paraId="0787D1BE" w14:textId="423A555E" w:rsidR="00205BA3" w:rsidRDefault="00205BA3" w:rsidP="009A6717">
      <w:pPr>
        <w:spacing w:before="120" w:after="0" w:line="240" w:lineRule="auto"/>
        <w:ind w:firstLine="709"/>
        <w:jc w:val="both"/>
        <w:rPr>
          <w:rFonts w:ascii="Times New Roman" w:hAnsi="Times New Roman" w:cs="Times New Roman"/>
          <w:sz w:val="26"/>
          <w:szCs w:val="26"/>
        </w:rPr>
      </w:pPr>
    </w:p>
    <w:p w14:paraId="083064D1" w14:textId="439869E3" w:rsidR="004F30AE" w:rsidRPr="004F30AE" w:rsidRDefault="00577989" w:rsidP="004F30AE">
      <w:pPr>
        <w:spacing w:before="120" w:after="0" w:line="240" w:lineRule="auto"/>
        <w:ind w:firstLine="709"/>
        <w:jc w:val="both"/>
        <w:rPr>
          <w:rFonts w:ascii="Times New Roman" w:hAnsi="Times New Roman" w:cs="Times New Roman"/>
          <w:b/>
          <w:bCs/>
          <w:sz w:val="26"/>
          <w:szCs w:val="26"/>
        </w:rPr>
      </w:pPr>
      <w:r w:rsidRPr="007E5B50">
        <w:rPr>
          <w:rFonts w:ascii="Times New Roman" w:hAnsi="Times New Roman" w:cs="Times New Roman"/>
          <w:b/>
          <w:bCs/>
          <w:sz w:val="26"/>
          <w:szCs w:val="26"/>
        </w:rPr>
        <w:t>1. Đặt vấn đề</w:t>
      </w:r>
    </w:p>
    <w:p w14:paraId="0D010A43" w14:textId="7B2EEA81" w:rsidR="003B0572" w:rsidRDefault="00CF67FA" w:rsidP="00254BD2">
      <w:pPr>
        <w:spacing w:before="120"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Người chưa thành niên</w:t>
      </w:r>
      <w:r w:rsidR="008118A4">
        <w:rPr>
          <w:rFonts w:ascii="Times New Roman" w:hAnsi="Times New Roman" w:cs="Times New Roman"/>
          <w:sz w:val="26"/>
          <w:szCs w:val="26"/>
        </w:rPr>
        <w:t xml:space="preserve"> là </w:t>
      </w:r>
      <w:r w:rsidR="006E4BF3">
        <w:rPr>
          <w:rFonts w:ascii="Times New Roman" w:hAnsi="Times New Roman" w:cs="Times New Roman"/>
          <w:sz w:val="26"/>
          <w:szCs w:val="26"/>
        </w:rPr>
        <w:t>mầm non</w:t>
      </w:r>
      <w:r w:rsidR="008118A4">
        <w:rPr>
          <w:rFonts w:ascii="Times New Roman" w:hAnsi="Times New Roman" w:cs="Times New Roman"/>
          <w:sz w:val="26"/>
          <w:szCs w:val="26"/>
        </w:rPr>
        <w:t xml:space="preserve"> của đất nước, sự trưởng thành và phát triển lành mạnh của các em </w:t>
      </w:r>
      <w:r w:rsidR="00937C99">
        <w:rPr>
          <w:rFonts w:ascii="Times New Roman" w:hAnsi="Times New Roman" w:cs="Times New Roman"/>
          <w:sz w:val="26"/>
          <w:szCs w:val="26"/>
        </w:rPr>
        <w:t xml:space="preserve">tác động trực tiếp đến sự phát triển của </w:t>
      </w:r>
      <w:r w:rsidR="004A609A">
        <w:rPr>
          <w:rFonts w:ascii="Times New Roman" w:hAnsi="Times New Roman" w:cs="Times New Roman"/>
          <w:sz w:val="26"/>
          <w:szCs w:val="26"/>
        </w:rPr>
        <w:t>quốc gi</w:t>
      </w:r>
      <w:r w:rsidR="008F37D8">
        <w:rPr>
          <w:rFonts w:ascii="Times New Roman" w:hAnsi="Times New Roman" w:cs="Times New Roman"/>
          <w:sz w:val="26"/>
          <w:szCs w:val="26"/>
        </w:rPr>
        <w:t>a</w:t>
      </w:r>
      <w:r w:rsidR="00705FB8">
        <w:rPr>
          <w:rFonts w:ascii="Times New Roman" w:hAnsi="Times New Roman" w:cs="Times New Roman"/>
          <w:sz w:val="26"/>
          <w:szCs w:val="26"/>
        </w:rPr>
        <w:t>, dân tộc</w:t>
      </w:r>
      <w:r w:rsidR="00254BD2">
        <w:rPr>
          <w:rFonts w:ascii="Times New Roman" w:hAnsi="Times New Roman" w:cs="Times New Roman"/>
          <w:sz w:val="26"/>
          <w:szCs w:val="26"/>
        </w:rPr>
        <w:t xml:space="preserve">. </w:t>
      </w:r>
      <w:r w:rsidR="00C534F0">
        <w:rPr>
          <w:rFonts w:ascii="Times New Roman" w:hAnsi="Times New Roman" w:cs="Times New Roman"/>
          <w:sz w:val="26"/>
          <w:szCs w:val="26"/>
        </w:rPr>
        <w:t xml:space="preserve">Tuy nhiên, người chưa thành niên lại là nhóm đặc biệt dễ bị tổn thương, mỗi tác </w:t>
      </w:r>
      <w:r w:rsidR="006A2EDF">
        <w:rPr>
          <w:rFonts w:ascii="Times New Roman" w:hAnsi="Times New Roman" w:cs="Times New Roman"/>
          <w:sz w:val="26"/>
          <w:szCs w:val="26"/>
        </w:rPr>
        <w:t>nhân gây ảnh hưởng đến</w:t>
      </w:r>
      <w:r w:rsidR="00C534F0">
        <w:rPr>
          <w:rFonts w:ascii="Times New Roman" w:hAnsi="Times New Roman" w:cs="Times New Roman"/>
          <w:sz w:val="26"/>
          <w:szCs w:val="26"/>
        </w:rPr>
        <w:t xml:space="preserve"> tâm lý của các em trong </w:t>
      </w:r>
      <w:r w:rsidR="00850269">
        <w:rPr>
          <w:rFonts w:ascii="Times New Roman" w:hAnsi="Times New Roman" w:cs="Times New Roman"/>
          <w:sz w:val="26"/>
          <w:szCs w:val="26"/>
        </w:rPr>
        <w:t xml:space="preserve">tuổi vị thành niên sẽ có tác động </w:t>
      </w:r>
      <w:r w:rsidR="00E12761">
        <w:rPr>
          <w:rFonts w:ascii="Times New Roman" w:hAnsi="Times New Roman" w:cs="Times New Roman"/>
          <w:sz w:val="26"/>
          <w:szCs w:val="26"/>
        </w:rPr>
        <w:t>sâu sắc đến sự hình thành và phát triển nhân cách của các em sau này</w:t>
      </w:r>
      <w:r w:rsidR="002E366D">
        <w:rPr>
          <w:rFonts w:ascii="Times New Roman" w:hAnsi="Times New Roman" w:cs="Times New Roman"/>
          <w:sz w:val="26"/>
          <w:szCs w:val="26"/>
        </w:rPr>
        <w:t xml:space="preserve">. </w:t>
      </w:r>
      <w:r w:rsidR="003B0572">
        <w:rPr>
          <w:rFonts w:ascii="Times New Roman" w:hAnsi="Times New Roman" w:cs="Times New Roman"/>
          <w:sz w:val="26"/>
          <w:szCs w:val="26"/>
        </w:rPr>
        <w:t xml:space="preserve">Đặc biệt, khi các em </w:t>
      </w:r>
      <w:r w:rsidR="00126424">
        <w:rPr>
          <w:rFonts w:ascii="Times New Roman" w:hAnsi="Times New Roman" w:cs="Times New Roman"/>
          <w:sz w:val="26"/>
          <w:szCs w:val="26"/>
        </w:rPr>
        <w:t>phạm phải các sai lầm</w:t>
      </w:r>
      <w:r w:rsidR="008946B1">
        <w:rPr>
          <w:rFonts w:ascii="Times New Roman" w:hAnsi="Times New Roman" w:cs="Times New Roman"/>
          <w:sz w:val="26"/>
          <w:szCs w:val="26"/>
        </w:rPr>
        <w:t xml:space="preserve">, </w:t>
      </w:r>
      <w:r w:rsidR="00D94889">
        <w:rPr>
          <w:rFonts w:ascii="Times New Roman" w:hAnsi="Times New Roman" w:cs="Times New Roman"/>
          <w:sz w:val="26"/>
          <w:szCs w:val="26"/>
        </w:rPr>
        <w:t>việc truy cứu trách nhiệm của các em không đơn giản chỉ là vấn đề hình phạt mà còn phải giáo dục</w:t>
      </w:r>
      <w:r w:rsidR="008C2327">
        <w:rPr>
          <w:rFonts w:ascii="Times New Roman" w:hAnsi="Times New Roman" w:cs="Times New Roman"/>
          <w:sz w:val="26"/>
          <w:szCs w:val="26"/>
        </w:rPr>
        <w:t>, định hướng, tạo nền tảng để các em sửa sai</w:t>
      </w:r>
      <w:r w:rsidR="0054170B">
        <w:rPr>
          <w:rFonts w:ascii="Times New Roman" w:hAnsi="Times New Roman" w:cs="Times New Roman"/>
          <w:sz w:val="26"/>
          <w:szCs w:val="26"/>
        </w:rPr>
        <w:t xml:space="preserve"> và trở thành người có ích cho xã hội, không tiếp tục phạm phải những sai lầm </w:t>
      </w:r>
      <w:r w:rsidR="005A1781">
        <w:rPr>
          <w:rFonts w:ascii="Times New Roman" w:hAnsi="Times New Roman" w:cs="Times New Roman"/>
          <w:sz w:val="26"/>
          <w:szCs w:val="26"/>
        </w:rPr>
        <w:t xml:space="preserve">tương tự </w:t>
      </w:r>
      <w:r w:rsidR="0054170B">
        <w:rPr>
          <w:rFonts w:ascii="Times New Roman" w:hAnsi="Times New Roman" w:cs="Times New Roman"/>
          <w:sz w:val="26"/>
          <w:szCs w:val="26"/>
        </w:rPr>
        <w:t>trong tương lai.</w:t>
      </w:r>
      <w:r w:rsidR="002D2324">
        <w:rPr>
          <w:rFonts w:ascii="Times New Roman" w:hAnsi="Times New Roman" w:cs="Times New Roman"/>
          <w:sz w:val="26"/>
          <w:szCs w:val="26"/>
        </w:rPr>
        <w:t xml:space="preserve"> Chính vì lẽ đó, việc bảo vệ tư pháp cho người chưa thành niên là một vấn đề cấp thiết cần </w:t>
      </w:r>
      <w:r w:rsidR="005366EA">
        <w:rPr>
          <w:rFonts w:ascii="Times New Roman" w:hAnsi="Times New Roman" w:cs="Times New Roman"/>
          <w:sz w:val="26"/>
          <w:szCs w:val="26"/>
        </w:rPr>
        <w:t xml:space="preserve">được </w:t>
      </w:r>
      <w:r w:rsidR="002D2324">
        <w:rPr>
          <w:rFonts w:ascii="Times New Roman" w:hAnsi="Times New Roman" w:cs="Times New Roman"/>
          <w:sz w:val="26"/>
          <w:szCs w:val="26"/>
        </w:rPr>
        <w:t>quan tâm, xem xét.</w:t>
      </w:r>
    </w:p>
    <w:p w14:paraId="181136EF" w14:textId="18BB990C" w:rsidR="002D2324" w:rsidRDefault="002D2324" w:rsidP="00254BD2">
      <w:pPr>
        <w:spacing w:before="120"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lastRenderedPageBreak/>
        <w:t xml:space="preserve">Thời gian vừa qua, Trung Quốc </w:t>
      </w:r>
      <w:r w:rsidR="00170D34">
        <w:rPr>
          <w:rFonts w:ascii="Times New Roman" w:hAnsi="Times New Roman" w:cs="Times New Roman"/>
          <w:sz w:val="26"/>
          <w:szCs w:val="26"/>
        </w:rPr>
        <w:t>cũng đã có nhiều thay đổi tích cực tro</w:t>
      </w:r>
      <w:r w:rsidR="00972B6D">
        <w:rPr>
          <w:rFonts w:ascii="Times New Roman" w:hAnsi="Times New Roman" w:cs="Times New Roman"/>
          <w:sz w:val="26"/>
          <w:szCs w:val="26"/>
        </w:rPr>
        <w:t>ng việ</w:t>
      </w:r>
      <w:r w:rsidR="00112B21">
        <w:rPr>
          <w:rFonts w:ascii="Times New Roman" w:hAnsi="Times New Roman" w:cs="Times New Roman"/>
          <w:sz w:val="26"/>
          <w:szCs w:val="26"/>
        </w:rPr>
        <w:t>c ban hành</w:t>
      </w:r>
      <w:r w:rsidR="00F250F1">
        <w:rPr>
          <w:rFonts w:ascii="Times New Roman" w:hAnsi="Times New Roman" w:cs="Times New Roman"/>
          <w:sz w:val="26"/>
          <w:szCs w:val="26"/>
        </w:rPr>
        <w:t>, sửa đổi, bổ sung</w:t>
      </w:r>
      <w:r w:rsidR="00112B21">
        <w:rPr>
          <w:rFonts w:ascii="Times New Roman" w:hAnsi="Times New Roman" w:cs="Times New Roman"/>
          <w:sz w:val="26"/>
          <w:szCs w:val="26"/>
        </w:rPr>
        <w:t xml:space="preserve"> các văn bản quy phạm pháp luật</w:t>
      </w:r>
      <w:r w:rsidR="00B7189C">
        <w:rPr>
          <w:rFonts w:ascii="Times New Roman" w:hAnsi="Times New Roman" w:cs="Times New Roman"/>
          <w:sz w:val="26"/>
          <w:szCs w:val="26"/>
        </w:rPr>
        <w:t xml:space="preserve">, chú trọng bảo vệ quyền và lợi ích hợp pháp của </w:t>
      </w:r>
      <w:r w:rsidR="00112B21">
        <w:rPr>
          <w:rFonts w:ascii="Times New Roman" w:hAnsi="Times New Roman" w:cs="Times New Roman"/>
          <w:sz w:val="26"/>
          <w:szCs w:val="26"/>
        </w:rPr>
        <w:t>người chưa thành niên</w:t>
      </w:r>
      <w:r w:rsidR="00EA5062">
        <w:rPr>
          <w:rFonts w:ascii="Times New Roman" w:hAnsi="Times New Roman" w:cs="Times New Roman"/>
          <w:sz w:val="26"/>
          <w:szCs w:val="26"/>
        </w:rPr>
        <w:t>.</w:t>
      </w:r>
      <w:r w:rsidR="00C6375C">
        <w:rPr>
          <w:rFonts w:ascii="Times New Roman" w:hAnsi="Times New Roman" w:cs="Times New Roman"/>
          <w:sz w:val="26"/>
          <w:szCs w:val="26"/>
        </w:rPr>
        <w:t xml:space="preserve"> Điển hình trong số đó là </w:t>
      </w:r>
      <w:r w:rsidR="001566CC">
        <w:rPr>
          <w:rFonts w:ascii="Times New Roman" w:hAnsi="Times New Roman" w:cs="Times New Roman"/>
          <w:sz w:val="26"/>
          <w:szCs w:val="26"/>
        </w:rPr>
        <w:t>Luật TTHS năm 2018</w:t>
      </w:r>
      <w:r w:rsidR="007467DA">
        <w:rPr>
          <w:rFonts w:ascii="Times New Roman" w:hAnsi="Times New Roman" w:cs="Times New Roman"/>
          <w:sz w:val="26"/>
          <w:szCs w:val="26"/>
        </w:rPr>
        <w:t xml:space="preserve"> và các hướng dẫn chuyên ngành của các cơ quan tư pháp </w:t>
      </w:r>
      <w:r w:rsidR="004E10B9">
        <w:rPr>
          <w:rFonts w:ascii="Times New Roman" w:hAnsi="Times New Roman" w:cs="Times New Roman"/>
          <w:sz w:val="26"/>
          <w:szCs w:val="26"/>
        </w:rPr>
        <w:t xml:space="preserve">có </w:t>
      </w:r>
      <w:r w:rsidR="007467DA">
        <w:rPr>
          <w:rFonts w:ascii="Times New Roman" w:hAnsi="Times New Roman" w:cs="Times New Roman"/>
          <w:sz w:val="26"/>
          <w:szCs w:val="26"/>
        </w:rPr>
        <w:t>liên quan</w:t>
      </w:r>
      <w:r w:rsidR="00E209CD">
        <w:rPr>
          <w:rFonts w:ascii="Times New Roman" w:hAnsi="Times New Roman" w:cs="Times New Roman"/>
          <w:sz w:val="26"/>
          <w:szCs w:val="26"/>
        </w:rPr>
        <w:t xml:space="preserve"> như </w:t>
      </w:r>
      <w:r w:rsidR="005562AB">
        <w:rPr>
          <w:rFonts w:ascii="Times New Roman" w:hAnsi="Times New Roman" w:cs="Times New Roman"/>
          <w:sz w:val="26"/>
          <w:szCs w:val="26"/>
          <w:lang w:val="vi-VN"/>
        </w:rPr>
        <w:t>Giải thích của TANDTC về việc áp dụng Luật TTHS của nước CHND Trung Hoa năm 2020</w:t>
      </w:r>
      <w:r w:rsidR="00E209CD">
        <w:rPr>
          <w:rFonts w:ascii="Times New Roman" w:hAnsi="Times New Roman" w:cs="Times New Roman"/>
          <w:sz w:val="26"/>
          <w:szCs w:val="26"/>
        </w:rPr>
        <w:t xml:space="preserve">; </w:t>
      </w:r>
      <w:r w:rsidR="00E446BC" w:rsidRPr="00E446BC">
        <w:rPr>
          <w:rFonts w:ascii="Times New Roman" w:hAnsi="Times New Roman" w:cs="Times New Roman"/>
          <w:sz w:val="26"/>
          <w:szCs w:val="26"/>
        </w:rPr>
        <w:t>Thông tư số 06/2020</w:t>
      </w:r>
      <w:r w:rsidR="00E446BC">
        <w:rPr>
          <w:rFonts w:ascii="Times New Roman" w:hAnsi="Times New Roman" w:cs="Times New Roman"/>
          <w:sz w:val="26"/>
          <w:szCs w:val="26"/>
        </w:rPr>
        <w:t xml:space="preserve"> của</w:t>
      </w:r>
      <w:r w:rsidR="00E446BC" w:rsidRPr="00E446BC">
        <w:rPr>
          <w:rFonts w:ascii="Times New Roman" w:hAnsi="Times New Roman" w:cs="Times New Roman"/>
          <w:sz w:val="26"/>
          <w:szCs w:val="26"/>
        </w:rPr>
        <w:t xml:space="preserve"> </w:t>
      </w:r>
      <w:r w:rsidR="00E446BC" w:rsidRPr="008C52F1">
        <w:rPr>
          <w:rFonts w:ascii="Times New Roman" w:hAnsi="Times New Roman" w:cs="Times New Roman"/>
          <w:sz w:val="26"/>
          <w:szCs w:val="26"/>
          <w:lang w:val="vi-VN"/>
        </w:rPr>
        <w:t xml:space="preserve">TAND tối cao, Viện kiểm sát nhân dân tối cao, Bộ Công an, Bộ An ninh quốc gia và Bộ tư pháp Trung Quốc </w:t>
      </w:r>
      <w:r w:rsidR="00E446BC" w:rsidRPr="00E446BC">
        <w:rPr>
          <w:rFonts w:ascii="Times New Roman" w:hAnsi="Times New Roman" w:cs="Times New Roman"/>
          <w:sz w:val="26"/>
          <w:szCs w:val="26"/>
        </w:rPr>
        <w:t>về Biện pháp làm việc của luật sư làm nhiệm vụ trợ giúp pháp lý</w:t>
      </w:r>
      <w:r w:rsidR="00E446BC">
        <w:rPr>
          <w:rFonts w:ascii="Times New Roman" w:hAnsi="Times New Roman" w:cs="Times New Roman"/>
          <w:sz w:val="26"/>
          <w:szCs w:val="26"/>
        </w:rPr>
        <w:t xml:space="preserve"> năm 2020; </w:t>
      </w:r>
      <w:r w:rsidR="00320ED3" w:rsidRPr="00320ED3">
        <w:rPr>
          <w:rFonts w:ascii="Times New Roman" w:hAnsi="Times New Roman" w:cs="Times New Roman"/>
          <w:sz w:val="26"/>
          <w:szCs w:val="26"/>
        </w:rPr>
        <w:t>Biện pháp thực hiện niêm phong hồ sơ tội phạm vị thành niên</w:t>
      </w:r>
      <w:r w:rsidR="00320ED3">
        <w:rPr>
          <w:rFonts w:ascii="Times New Roman" w:hAnsi="Times New Roman" w:cs="Times New Roman"/>
          <w:sz w:val="26"/>
          <w:szCs w:val="26"/>
        </w:rPr>
        <w:t xml:space="preserve"> năm 2022 của TAND tối cao</w:t>
      </w:r>
      <w:r w:rsidR="00320ED3" w:rsidRPr="00320ED3">
        <w:rPr>
          <w:rFonts w:ascii="Times New Roman" w:hAnsi="Times New Roman" w:cs="Times New Roman"/>
          <w:sz w:val="26"/>
          <w:szCs w:val="26"/>
        </w:rPr>
        <w:t>, Viện kiểm sát nhân dân tối cao, Bộ công an, Bộ tư pháp Trung Quốc</w:t>
      </w:r>
      <w:r w:rsidR="001C6283">
        <w:rPr>
          <w:rFonts w:ascii="Times New Roman" w:hAnsi="Times New Roman" w:cs="Times New Roman"/>
          <w:sz w:val="26"/>
          <w:szCs w:val="26"/>
        </w:rPr>
        <w:t xml:space="preserve">; </w:t>
      </w:r>
      <w:r w:rsidR="001C6283" w:rsidRPr="001C6283">
        <w:rPr>
          <w:rFonts w:ascii="Times New Roman" w:hAnsi="Times New Roman" w:cs="Times New Roman"/>
          <w:sz w:val="26"/>
          <w:szCs w:val="26"/>
        </w:rPr>
        <w:t xml:space="preserve">Quy chế điều tra lý lịch tư pháp của cơ quan Công an </w:t>
      </w:r>
      <w:r w:rsidR="001C6283">
        <w:rPr>
          <w:rFonts w:ascii="Times New Roman" w:hAnsi="Times New Roman" w:cs="Times New Roman"/>
          <w:sz w:val="26"/>
          <w:szCs w:val="26"/>
        </w:rPr>
        <w:t>năm 2021 của Bộ công an Trung Quốc</w:t>
      </w:r>
      <w:r w:rsidR="00933335">
        <w:rPr>
          <w:rFonts w:ascii="Times New Roman" w:hAnsi="Times New Roman" w:cs="Times New Roman"/>
          <w:sz w:val="26"/>
          <w:szCs w:val="26"/>
        </w:rPr>
        <w:t xml:space="preserve">… Việc nghiên cứu các quy định pháp luật TTHS Trung Quốc liên quan đến người chưa thành niên nêu trên là </w:t>
      </w:r>
      <w:r w:rsidR="0040004F">
        <w:rPr>
          <w:rFonts w:ascii="Times New Roman" w:hAnsi="Times New Roman" w:cs="Times New Roman"/>
          <w:sz w:val="26"/>
          <w:szCs w:val="26"/>
        </w:rPr>
        <w:t>nguồn tư liệu</w:t>
      </w:r>
      <w:r w:rsidR="009A6AC4">
        <w:rPr>
          <w:rFonts w:ascii="Times New Roman" w:hAnsi="Times New Roman" w:cs="Times New Roman"/>
          <w:sz w:val="26"/>
          <w:szCs w:val="26"/>
        </w:rPr>
        <w:t xml:space="preserve"> </w:t>
      </w:r>
      <w:r w:rsidR="006650D4">
        <w:rPr>
          <w:rFonts w:ascii="Times New Roman" w:hAnsi="Times New Roman" w:cs="Times New Roman"/>
          <w:sz w:val="26"/>
          <w:szCs w:val="26"/>
        </w:rPr>
        <w:t xml:space="preserve">hữu ích </w:t>
      </w:r>
      <w:r w:rsidR="009A6AC4">
        <w:rPr>
          <w:rFonts w:ascii="Times New Roman" w:hAnsi="Times New Roman" w:cs="Times New Roman"/>
          <w:sz w:val="26"/>
          <w:szCs w:val="26"/>
        </w:rPr>
        <w:t>để tham khảo</w:t>
      </w:r>
      <w:r w:rsidR="0040004F">
        <w:rPr>
          <w:rFonts w:ascii="Times New Roman" w:hAnsi="Times New Roman" w:cs="Times New Roman"/>
          <w:sz w:val="26"/>
          <w:szCs w:val="26"/>
        </w:rPr>
        <w:t xml:space="preserve"> </w:t>
      </w:r>
      <w:r w:rsidR="00421245">
        <w:rPr>
          <w:rFonts w:ascii="Times New Roman" w:hAnsi="Times New Roman" w:cs="Times New Roman"/>
          <w:sz w:val="26"/>
          <w:szCs w:val="26"/>
        </w:rPr>
        <w:t>cho việc xây dựng các quy định pháp luật</w:t>
      </w:r>
      <w:r w:rsidR="00E320CD">
        <w:rPr>
          <w:rFonts w:ascii="Times New Roman" w:hAnsi="Times New Roman" w:cs="Times New Roman"/>
          <w:sz w:val="26"/>
          <w:szCs w:val="26"/>
        </w:rPr>
        <w:t xml:space="preserve"> Việt Nam hiện hành h</w:t>
      </w:r>
      <w:r w:rsidR="003B588A">
        <w:rPr>
          <w:rFonts w:ascii="Times New Roman" w:hAnsi="Times New Roman" w:cs="Times New Roman"/>
          <w:sz w:val="26"/>
          <w:szCs w:val="26"/>
        </w:rPr>
        <w:t xml:space="preserve">ướng đến mục tiêu bảo vệ </w:t>
      </w:r>
      <w:r w:rsidR="0063412F">
        <w:rPr>
          <w:rFonts w:ascii="Times New Roman" w:hAnsi="Times New Roman" w:cs="Times New Roman"/>
          <w:sz w:val="26"/>
          <w:szCs w:val="26"/>
        </w:rPr>
        <w:t xml:space="preserve">tốt nhất </w:t>
      </w:r>
      <w:r w:rsidR="003B588A">
        <w:rPr>
          <w:rFonts w:ascii="Times New Roman" w:hAnsi="Times New Roman" w:cs="Times New Roman"/>
          <w:sz w:val="26"/>
          <w:szCs w:val="26"/>
        </w:rPr>
        <w:t>các quyền và lợi ích hợp pháp của người chưa thành niên</w:t>
      </w:r>
      <w:r w:rsidR="00363833">
        <w:rPr>
          <w:rFonts w:ascii="Times New Roman" w:hAnsi="Times New Roman" w:cs="Times New Roman"/>
          <w:sz w:val="26"/>
          <w:szCs w:val="26"/>
        </w:rPr>
        <w:t xml:space="preserve"> trong TTHS</w:t>
      </w:r>
      <w:r w:rsidR="003B588A">
        <w:rPr>
          <w:rFonts w:ascii="Times New Roman" w:hAnsi="Times New Roman" w:cs="Times New Roman"/>
          <w:sz w:val="26"/>
          <w:szCs w:val="26"/>
        </w:rPr>
        <w:t>.</w:t>
      </w:r>
    </w:p>
    <w:p w14:paraId="2BA3293F" w14:textId="1EBD6E0E" w:rsidR="00185858" w:rsidRDefault="00CD0104" w:rsidP="009A6717">
      <w:pPr>
        <w:spacing w:before="120" w:after="0" w:line="240" w:lineRule="auto"/>
        <w:ind w:firstLine="709"/>
        <w:jc w:val="both"/>
        <w:rPr>
          <w:rFonts w:ascii="Times New Roman" w:hAnsi="Times New Roman" w:cs="Times New Roman"/>
          <w:b/>
          <w:bCs/>
          <w:sz w:val="26"/>
          <w:szCs w:val="26"/>
        </w:rPr>
      </w:pPr>
      <w:r>
        <w:rPr>
          <w:rFonts w:ascii="Times New Roman" w:hAnsi="Times New Roman" w:cs="Times New Roman"/>
          <w:b/>
          <w:bCs/>
          <w:sz w:val="26"/>
          <w:szCs w:val="26"/>
        </w:rPr>
        <w:t>2</w:t>
      </w:r>
      <w:r w:rsidR="00116EAA" w:rsidRPr="00FB3C2E">
        <w:rPr>
          <w:rFonts w:ascii="Times New Roman" w:hAnsi="Times New Roman" w:cs="Times New Roman"/>
          <w:b/>
          <w:bCs/>
          <w:sz w:val="26"/>
          <w:szCs w:val="26"/>
        </w:rPr>
        <w:t xml:space="preserve">. </w:t>
      </w:r>
      <w:r w:rsidR="001875EE" w:rsidRPr="00FB3C2E">
        <w:rPr>
          <w:rFonts w:ascii="Times New Roman" w:hAnsi="Times New Roman" w:cs="Times New Roman"/>
          <w:b/>
          <w:bCs/>
          <w:sz w:val="26"/>
          <w:szCs w:val="26"/>
        </w:rPr>
        <w:t>Một số quy định của</w:t>
      </w:r>
      <w:r w:rsidR="001053E4">
        <w:rPr>
          <w:rFonts w:ascii="Times New Roman" w:hAnsi="Times New Roman" w:cs="Times New Roman"/>
          <w:b/>
          <w:bCs/>
          <w:sz w:val="26"/>
          <w:szCs w:val="26"/>
        </w:rPr>
        <w:t xml:space="preserve"> pháp</w:t>
      </w:r>
      <w:r w:rsidR="001875EE" w:rsidRPr="00FB3C2E">
        <w:rPr>
          <w:rFonts w:ascii="Times New Roman" w:hAnsi="Times New Roman" w:cs="Times New Roman"/>
          <w:b/>
          <w:bCs/>
          <w:sz w:val="26"/>
          <w:szCs w:val="26"/>
        </w:rPr>
        <w:t xml:space="preserve"> </w:t>
      </w:r>
      <w:r w:rsidR="00C11888">
        <w:rPr>
          <w:rFonts w:ascii="Times New Roman" w:hAnsi="Times New Roman" w:cs="Times New Roman"/>
          <w:b/>
          <w:bCs/>
          <w:sz w:val="26"/>
          <w:szCs w:val="26"/>
        </w:rPr>
        <w:t>l</w:t>
      </w:r>
      <w:r w:rsidR="001875EE" w:rsidRPr="00FB3C2E">
        <w:rPr>
          <w:rFonts w:ascii="Times New Roman" w:hAnsi="Times New Roman" w:cs="Times New Roman"/>
          <w:b/>
          <w:bCs/>
          <w:sz w:val="26"/>
          <w:szCs w:val="26"/>
        </w:rPr>
        <w:t xml:space="preserve">uật </w:t>
      </w:r>
      <w:r w:rsidR="00BA0EDB">
        <w:rPr>
          <w:rFonts w:ascii="Times New Roman" w:hAnsi="Times New Roman" w:cs="Times New Roman"/>
          <w:b/>
          <w:bCs/>
          <w:sz w:val="26"/>
          <w:szCs w:val="26"/>
        </w:rPr>
        <w:t>TTHS</w:t>
      </w:r>
      <w:r w:rsidR="001875EE" w:rsidRPr="00FB3C2E">
        <w:rPr>
          <w:rFonts w:ascii="Times New Roman" w:hAnsi="Times New Roman" w:cs="Times New Roman"/>
          <w:b/>
          <w:bCs/>
          <w:sz w:val="26"/>
          <w:szCs w:val="26"/>
        </w:rPr>
        <w:t xml:space="preserve"> Trung quốc đối với người chưa thành niên</w:t>
      </w:r>
      <w:r w:rsidR="00521EB3">
        <w:rPr>
          <w:rFonts w:ascii="Times New Roman" w:hAnsi="Times New Roman" w:cs="Times New Roman"/>
          <w:b/>
          <w:bCs/>
          <w:sz w:val="26"/>
          <w:szCs w:val="26"/>
        </w:rPr>
        <w:t xml:space="preserve"> bị buộc tộ</w:t>
      </w:r>
      <w:r w:rsidR="005E5D38">
        <w:rPr>
          <w:rFonts w:ascii="Times New Roman" w:hAnsi="Times New Roman" w:cs="Times New Roman"/>
          <w:b/>
          <w:bCs/>
          <w:sz w:val="26"/>
          <w:szCs w:val="26"/>
        </w:rPr>
        <w:t>i</w:t>
      </w:r>
    </w:p>
    <w:p w14:paraId="0538A936" w14:textId="2434E642" w:rsidR="009F18F4" w:rsidRPr="00CD0104" w:rsidRDefault="00CD0104" w:rsidP="009A6717">
      <w:pPr>
        <w:spacing w:before="120" w:after="0" w:line="240" w:lineRule="auto"/>
        <w:ind w:firstLine="709"/>
        <w:jc w:val="both"/>
        <w:rPr>
          <w:rFonts w:ascii="Times New Roman" w:hAnsi="Times New Roman" w:cs="Times New Roman"/>
          <w:b/>
          <w:bCs/>
          <w:i/>
          <w:iCs/>
          <w:sz w:val="26"/>
          <w:szCs w:val="26"/>
        </w:rPr>
      </w:pPr>
      <w:r w:rsidRPr="00CD0104">
        <w:rPr>
          <w:rFonts w:ascii="Times New Roman" w:hAnsi="Times New Roman" w:cs="Times New Roman"/>
          <w:b/>
          <w:bCs/>
          <w:i/>
          <w:iCs/>
          <w:sz w:val="26"/>
          <w:szCs w:val="26"/>
        </w:rPr>
        <w:t>2.</w:t>
      </w:r>
      <w:r w:rsidR="00751186" w:rsidRPr="00CD0104">
        <w:rPr>
          <w:rFonts w:ascii="Times New Roman" w:hAnsi="Times New Roman" w:cs="Times New Roman"/>
          <w:b/>
          <w:bCs/>
          <w:i/>
          <w:iCs/>
          <w:sz w:val="26"/>
          <w:szCs w:val="26"/>
        </w:rPr>
        <w:t xml:space="preserve">1. </w:t>
      </w:r>
      <w:r w:rsidR="009A0AB6" w:rsidRPr="00CD0104">
        <w:rPr>
          <w:rFonts w:ascii="Times New Roman" w:hAnsi="Times New Roman" w:cs="Times New Roman"/>
          <w:b/>
          <w:bCs/>
          <w:i/>
          <w:iCs/>
          <w:sz w:val="26"/>
          <w:szCs w:val="26"/>
        </w:rPr>
        <w:t>B</w:t>
      </w:r>
      <w:r w:rsidR="0087174F" w:rsidRPr="00CD0104">
        <w:rPr>
          <w:rFonts w:ascii="Times New Roman" w:hAnsi="Times New Roman" w:cs="Times New Roman"/>
          <w:b/>
          <w:bCs/>
          <w:i/>
          <w:iCs/>
          <w:sz w:val="26"/>
          <w:szCs w:val="26"/>
        </w:rPr>
        <w:t>ảo đảm quyền được bào chữa của người chưa thành niên</w:t>
      </w:r>
      <w:r w:rsidR="00D4064B">
        <w:rPr>
          <w:rFonts w:ascii="Times New Roman" w:hAnsi="Times New Roman" w:cs="Times New Roman"/>
          <w:b/>
          <w:bCs/>
          <w:i/>
          <w:iCs/>
          <w:sz w:val="26"/>
          <w:szCs w:val="26"/>
        </w:rPr>
        <w:t xml:space="preserve"> bị buộc tội</w:t>
      </w:r>
      <w:r w:rsidR="0087174F" w:rsidRPr="00CD0104">
        <w:rPr>
          <w:rFonts w:ascii="Times New Roman" w:hAnsi="Times New Roman" w:cs="Times New Roman"/>
          <w:b/>
          <w:bCs/>
          <w:i/>
          <w:iCs/>
          <w:sz w:val="26"/>
          <w:szCs w:val="26"/>
        </w:rPr>
        <w:t>.</w:t>
      </w:r>
    </w:p>
    <w:p w14:paraId="151575E4" w14:textId="1E601BB1" w:rsidR="00EA2CC9" w:rsidRDefault="008911F6" w:rsidP="009A6717">
      <w:pPr>
        <w:spacing w:before="120" w:after="0" w:line="240" w:lineRule="auto"/>
        <w:ind w:firstLine="709"/>
        <w:jc w:val="both"/>
        <w:rPr>
          <w:rFonts w:ascii="Times New Roman" w:hAnsi="Times New Roman" w:cs="Times New Roman"/>
          <w:sz w:val="26"/>
          <w:szCs w:val="26"/>
        </w:rPr>
      </w:pPr>
      <w:bookmarkStart w:id="0" w:name="_Hlk148541751"/>
      <w:r>
        <w:rPr>
          <w:rFonts w:ascii="Times New Roman" w:hAnsi="Times New Roman" w:cs="Times New Roman"/>
          <w:sz w:val="26"/>
          <w:szCs w:val="26"/>
        </w:rPr>
        <w:t>Luật TTHS Trung Quốc có cơ chế bảo đảm quyền</w:t>
      </w:r>
      <w:r w:rsidR="003C4363">
        <w:rPr>
          <w:rFonts w:ascii="Times New Roman" w:hAnsi="Times New Roman" w:cs="Times New Roman"/>
          <w:sz w:val="26"/>
          <w:szCs w:val="26"/>
        </w:rPr>
        <w:t xml:space="preserve"> được</w:t>
      </w:r>
      <w:r>
        <w:rPr>
          <w:rFonts w:ascii="Times New Roman" w:hAnsi="Times New Roman" w:cs="Times New Roman"/>
          <w:sz w:val="26"/>
          <w:szCs w:val="26"/>
        </w:rPr>
        <w:t xml:space="preserve"> bào chữa cho người chưa thành niên khá chặt chẽ</w:t>
      </w:r>
      <w:r w:rsidR="00A86944">
        <w:rPr>
          <w:rFonts w:ascii="Times New Roman" w:hAnsi="Times New Roman" w:cs="Times New Roman"/>
          <w:sz w:val="26"/>
          <w:szCs w:val="26"/>
        </w:rPr>
        <w:t>, trong đó có quy định về</w:t>
      </w:r>
      <w:r w:rsidR="001318FE">
        <w:rPr>
          <w:rFonts w:ascii="Times New Roman" w:hAnsi="Times New Roman" w:cs="Times New Roman"/>
          <w:sz w:val="26"/>
          <w:szCs w:val="26"/>
        </w:rPr>
        <w:t xml:space="preserve"> chế định</w:t>
      </w:r>
      <w:r w:rsidR="00A86944">
        <w:rPr>
          <w:rFonts w:ascii="Times New Roman" w:hAnsi="Times New Roman" w:cs="Times New Roman"/>
          <w:sz w:val="26"/>
          <w:szCs w:val="26"/>
        </w:rPr>
        <w:t xml:space="preserve"> </w:t>
      </w:r>
      <w:r w:rsidR="00616922" w:rsidRPr="00616922">
        <w:rPr>
          <w:rFonts w:ascii="Times New Roman" w:hAnsi="Times New Roman" w:cs="Times New Roman"/>
          <w:i/>
          <w:iCs/>
          <w:sz w:val="26"/>
          <w:szCs w:val="26"/>
        </w:rPr>
        <w:t>"</w:t>
      </w:r>
      <w:r w:rsidR="00A86944" w:rsidRPr="00616922">
        <w:rPr>
          <w:rFonts w:ascii="Times New Roman" w:hAnsi="Times New Roman" w:cs="Times New Roman"/>
          <w:i/>
          <w:iCs/>
          <w:sz w:val="26"/>
          <w:szCs w:val="26"/>
        </w:rPr>
        <w:t>Luật sư trực</w:t>
      </w:r>
      <w:r w:rsidR="00616922" w:rsidRPr="00616922">
        <w:rPr>
          <w:rFonts w:ascii="Times New Roman" w:hAnsi="Times New Roman" w:cs="Times New Roman"/>
          <w:i/>
          <w:iCs/>
          <w:sz w:val="26"/>
          <w:szCs w:val="26"/>
        </w:rPr>
        <w:t>"</w:t>
      </w:r>
      <w:r>
        <w:rPr>
          <w:rFonts w:ascii="Times New Roman" w:hAnsi="Times New Roman" w:cs="Times New Roman"/>
          <w:sz w:val="26"/>
          <w:szCs w:val="26"/>
        </w:rPr>
        <w:t>. Cụ thể, theo quy định tại Điều 36 Luật TTHS Trung Quốc năm 2018</w:t>
      </w:r>
      <w:r w:rsidR="00211F22">
        <w:rPr>
          <w:rFonts w:ascii="Times New Roman" w:hAnsi="Times New Roman" w:cs="Times New Roman"/>
          <w:sz w:val="26"/>
          <w:szCs w:val="26"/>
        </w:rPr>
        <w:t xml:space="preserve"> thì cơ quan trợ giúp pháp lý có thể có Luật sư trực tiếp tại các địa điểm như Tòa án nhân dân</w:t>
      </w:r>
      <w:r w:rsidR="00B723E4">
        <w:rPr>
          <w:rFonts w:ascii="Times New Roman" w:hAnsi="Times New Roman" w:cs="Times New Roman"/>
          <w:sz w:val="26"/>
          <w:szCs w:val="26"/>
        </w:rPr>
        <w:t xml:space="preserve"> (TAND)</w:t>
      </w:r>
      <w:r w:rsidR="00211F22">
        <w:rPr>
          <w:rFonts w:ascii="Times New Roman" w:hAnsi="Times New Roman" w:cs="Times New Roman"/>
          <w:sz w:val="26"/>
          <w:szCs w:val="26"/>
        </w:rPr>
        <w:t xml:space="preserve">, trại tạm giam. Trong trường hợp bị can, bị cáo phạm tội mà không nhờ Luật sư bào chữa thì </w:t>
      </w:r>
      <w:r w:rsidR="00211F22" w:rsidRPr="00211F22">
        <w:rPr>
          <w:rFonts w:ascii="Times New Roman" w:hAnsi="Times New Roman" w:cs="Times New Roman"/>
          <w:sz w:val="26"/>
          <w:szCs w:val="26"/>
        </w:rPr>
        <w:t>luật sư trực tiếp đó phải trợ giúp pháp lý cho bị can, bị cáo phạm tội như tư vấn pháp luật, gợi ý lựa chọn thủ tục, áp dụng thay đổi biện pháp bắt buộc và đưa ra ý kiến ​​về việc xử lý trường hợp</w:t>
      </w:r>
      <w:r w:rsidR="00CC1506">
        <w:rPr>
          <w:rFonts w:ascii="Times New Roman" w:hAnsi="Times New Roman" w:cs="Times New Roman"/>
          <w:sz w:val="26"/>
          <w:szCs w:val="26"/>
        </w:rPr>
        <w:t>.</w:t>
      </w:r>
      <w:bookmarkEnd w:id="0"/>
      <w:r w:rsidR="00AC2F21">
        <w:rPr>
          <w:rFonts w:ascii="Times New Roman" w:hAnsi="Times New Roman" w:cs="Times New Roman"/>
          <w:sz w:val="26"/>
          <w:szCs w:val="26"/>
        </w:rPr>
        <w:t xml:space="preserve"> </w:t>
      </w:r>
      <w:r w:rsidR="005350E5">
        <w:rPr>
          <w:rFonts w:ascii="Times New Roman" w:hAnsi="Times New Roman" w:cs="Times New Roman"/>
          <w:sz w:val="26"/>
          <w:szCs w:val="26"/>
        </w:rPr>
        <w:t xml:space="preserve">Việc bố trí </w:t>
      </w:r>
      <w:r w:rsidR="0059369D" w:rsidRPr="00616922">
        <w:rPr>
          <w:rFonts w:ascii="Times New Roman" w:hAnsi="Times New Roman" w:cs="Times New Roman"/>
          <w:i/>
          <w:iCs/>
          <w:sz w:val="26"/>
          <w:szCs w:val="26"/>
        </w:rPr>
        <w:t>"Luật sư trực"</w:t>
      </w:r>
      <w:r w:rsidR="0059369D">
        <w:rPr>
          <w:rFonts w:ascii="Times New Roman" w:hAnsi="Times New Roman" w:cs="Times New Roman"/>
          <w:sz w:val="26"/>
          <w:szCs w:val="26"/>
        </w:rPr>
        <w:t xml:space="preserve"> </w:t>
      </w:r>
      <w:r w:rsidR="00A306F6">
        <w:rPr>
          <w:rFonts w:ascii="Times New Roman" w:hAnsi="Times New Roman" w:cs="Times New Roman"/>
          <w:sz w:val="26"/>
          <w:szCs w:val="26"/>
        </w:rPr>
        <w:t xml:space="preserve">tại </w:t>
      </w:r>
      <w:r w:rsidR="004C0D5F">
        <w:rPr>
          <w:rFonts w:ascii="Times New Roman" w:hAnsi="Times New Roman" w:cs="Times New Roman"/>
          <w:sz w:val="26"/>
          <w:szCs w:val="26"/>
        </w:rPr>
        <w:t>TAND</w:t>
      </w:r>
      <w:r w:rsidR="00A306F6">
        <w:rPr>
          <w:rFonts w:ascii="Times New Roman" w:hAnsi="Times New Roman" w:cs="Times New Roman"/>
          <w:sz w:val="26"/>
          <w:szCs w:val="26"/>
        </w:rPr>
        <w:t>, trại tam giam</w:t>
      </w:r>
      <w:r w:rsidR="00F103EE">
        <w:rPr>
          <w:rFonts w:ascii="Times New Roman" w:hAnsi="Times New Roman" w:cs="Times New Roman"/>
          <w:sz w:val="26"/>
          <w:szCs w:val="26"/>
        </w:rPr>
        <w:t xml:space="preserve"> còn tùy thuộc vào điều kiện của từng địa phương, quan trọng nhất là số lượng Luật sư đang hành nghề tại địa phương đó. Tuy nhiên, nếu bố trí được Luật sư trực tiếp tại TAND, trại tam giam</w:t>
      </w:r>
      <w:r w:rsidR="00700E85">
        <w:rPr>
          <w:rFonts w:ascii="Times New Roman" w:hAnsi="Times New Roman" w:cs="Times New Roman"/>
          <w:sz w:val="26"/>
          <w:szCs w:val="26"/>
        </w:rPr>
        <w:t xml:space="preserve"> thì </w:t>
      </w:r>
      <w:r w:rsidR="004308A3">
        <w:rPr>
          <w:rFonts w:ascii="Times New Roman" w:hAnsi="Times New Roman" w:cs="Times New Roman"/>
          <w:sz w:val="26"/>
          <w:szCs w:val="26"/>
        </w:rPr>
        <w:t>quyền lợi của người chưa thành niên nói riêng và các đối tượng được trợ giúp pháp lý</w:t>
      </w:r>
      <w:r w:rsidR="00B86F69">
        <w:rPr>
          <w:rFonts w:ascii="Times New Roman" w:hAnsi="Times New Roman" w:cs="Times New Roman"/>
          <w:sz w:val="26"/>
          <w:szCs w:val="26"/>
        </w:rPr>
        <w:t xml:space="preserve"> khác</w:t>
      </w:r>
      <w:r w:rsidR="004308A3">
        <w:rPr>
          <w:rFonts w:ascii="Times New Roman" w:hAnsi="Times New Roman" w:cs="Times New Roman"/>
          <w:sz w:val="26"/>
          <w:szCs w:val="26"/>
        </w:rPr>
        <w:t xml:space="preserve"> </w:t>
      </w:r>
      <w:r w:rsidR="005109D0">
        <w:rPr>
          <w:rFonts w:ascii="Times New Roman" w:hAnsi="Times New Roman" w:cs="Times New Roman"/>
          <w:sz w:val="26"/>
          <w:szCs w:val="26"/>
        </w:rPr>
        <w:t>nói chung</w:t>
      </w:r>
      <w:r w:rsidR="00420E24">
        <w:rPr>
          <w:rFonts w:ascii="Times New Roman" w:hAnsi="Times New Roman" w:cs="Times New Roman"/>
          <w:sz w:val="26"/>
          <w:szCs w:val="26"/>
        </w:rPr>
        <w:t xml:space="preserve"> sẽ được bảo đảm kịp thời</w:t>
      </w:r>
      <w:r w:rsidR="008C2DB1">
        <w:rPr>
          <w:rFonts w:ascii="Times New Roman" w:hAnsi="Times New Roman" w:cs="Times New Roman"/>
          <w:sz w:val="26"/>
          <w:szCs w:val="26"/>
        </w:rPr>
        <w:t xml:space="preserve"> vì Luật sư có thể hỗ trợ họ</w:t>
      </w:r>
      <w:r w:rsidR="002D47CA">
        <w:rPr>
          <w:rFonts w:ascii="Times New Roman" w:hAnsi="Times New Roman" w:cs="Times New Roman"/>
          <w:sz w:val="26"/>
          <w:szCs w:val="26"/>
        </w:rPr>
        <w:t xml:space="preserve"> ngay lập tức tại thời điểm phát sinh</w:t>
      </w:r>
      <w:r w:rsidR="00EA5F40">
        <w:rPr>
          <w:rFonts w:ascii="Times New Roman" w:hAnsi="Times New Roman" w:cs="Times New Roman"/>
          <w:sz w:val="26"/>
          <w:szCs w:val="26"/>
        </w:rPr>
        <w:t xml:space="preserve"> sự kiện pháp lý.</w:t>
      </w:r>
    </w:p>
    <w:p w14:paraId="79921E23" w14:textId="2085D76B" w:rsidR="009700A5" w:rsidRDefault="001C5389" w:rsidP="009A6717">
      <w:pPr>
        <w:spacing w:before="120"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TAND tối cao, Viện kiểm sát nhân dân tối cao</w:t>
      </w:r>
      <w:r w:rsidR="00FE48C2">
        <w:rPr>
          <w:rFonts w:ascii="Times New Roman" w:hAnsi="Times New Roman" w:cs="Times New Roman"/>
          <w:sz w:val="26"/>
          <w:szCs w:val="26"/>
        </w:rPr>
        <w:t xml:space="preserve">, Bộ Công an, Bộ An ninh quốc gia và Bộ tư pháp Trung Quốc cũng đã ban hành </w:t>
      </w:r>
      <w:r w:rsidR="0037272A">
        <w:rPr>
          <w:rFonts w:ascii="Times New Roman" w:hAnsi="Times New Roman" w:cs="Times New Roman"/>
          <w:sz w:val="26"/>
          <w:szCs w:val="26"/>
        </w:rPr>
        <w:t xml:space="preserve">Thông tư số 06/2020 về </w:t>
      </w:r>
      <w:r w:rsidR="0037272A" w:rsidRPr="0037272A">
        <w:rPr>
          <w:rFonts w:ascii="Times New Roman" w:hAnsi="Times New Roman" w:cs="Times New Roman"/>
          <w:i/>
          <w:iCs/>
          <w:sz w:val="26"/>
          <w:szCs w:val="26"/>
        </w:rPr>
        <w:t>"Biện pháp làm việc của luật sư làm nhiệm vụ trợ giúp pháp lý"</w:t>
      </w:r>
      <w:r w:rsidR="0037272A">
        <w:rPr>
          <w:rFonts w:ascii="Times New Roman" w:hAnsi="Times New Roman" w:cs="Times New Roman"/>
          <w:sz w:val="26"/>
          <w:szCs w:val="26"/>
        </w:rPr>
        <w:t xml:space="preserve">. </w:t>
      </w:r>
      <w:r w:rsidR="001A664A">
        <w:rPr>
          <w:rFonts w:ascii="Times New Roman" w:hAnsi="Times New Roman" w:cs="Times New Roman"/>
          <w:sz w:val="26"/>
          <w:szCs w:val="26"/>
        </w:rPr>
        <w:t xml:space="preserve">Nội dung </w:t>
      </w:r>
      <w:r w:rsidR="00616962">
        <w:rPr>
          <w:rFonts w:ascii="Times New Roman" w:hAnsi="Times New Roman" w:cs="Times New Roman"/>
          <w:sz w:val="26"/>
          <w:szCs w:val="26"/>
        </w:rPr>
        <w:t>T</w:t>
      </w:r>
      <w:r w:rsidR="001A664A">
        <w:rPr>
          <w:rFonts w:ascii="Times New Roman" w:hAnsi="Times New Roman" w:cs="Times New Roman"/>
          <w:sz w:val="26"/>
          <w:szCs w:val="26"/>
        </w:rPr>
        <w:t xml:space="preserve">hông tư </w:t>
      </w:r>
      <w:r w:rsidR="00B73731">
        <w:rPr>
          <w:rFonts w:ascii="Times New Roman" w:hAnsi="Times New Roman" w:cs="Times New Roman"/>
          <w:sz w:val="26"/>
          <w:szCs w:val="26"/>
        </w:rPr>
        <w:t xml:space="preserve">hướng dẫn rất chi tiết </w:t>
      </w:r>
      <w:r w:rsidR="00DF72D2">
        <w:rPr>
          <w:rFonts w:ascii="Times New Roman" w:hAnsi="Times New Roman" w:cs="Times New Roman"/>
          <w:sz w:val="26"/>
          <w:szCs w:val="26"/>
        </w:rPr>
        <w:t>các quy định liên quan đến</w:t>
      </w:r>
      <w:r w:rsidR="001A03AC">
        <w:rPr>
          <w:rFonts w:ascii="Times New Roman" w:hAnsi="Times New Roman" w:cs="Times New Roman"/>
          <w:sz w:val="26"/>
          <w:szCs w:val="26"/>
        </w:rPr>
        <w:t xml:space="preserve"> </w:t>
      </w:r>
      <w:r w:rsidR="001A03AC" w:rsidRPr="00237C94">
        <w:rPr>
          <w:rFonts w:ascii="Times New Roman" w:hAnsi="Times New Roman" w:cs="Times New Roman"/>
          <w:i/>
          <w:iCs/>
          <w:sz w:val="26"/>
          <w:szCs w:val="26"/>
        </w:rPr>
        <w:t>"Luật sư trực"</w:t>
      </w:r>
      <w:r w:rsidR="00902DAE">
        <w:rPr>
          <w:rFonts w:ascii="Times New Roman" w:hAnsi="Times New Roman" w:cs="Times New Roman"/>
          <w:i/>
          <w:iCs/>
          <w:sz w:val="26"/>
          <w:szCs w:val="26"/>
        </w:rPr>
        <w:t xml:space="preserve">, </w:t>
      </w:r>
      <w:r w:rsidR="00902DAE">
        <w:rPr>
          <w:rFonts w:ascii="Times New Roman" w:hAnsi="Times New Roman" w:cs="Times New Roman"/>
          <w:sz w:val="26"/>
          <w:szCs w:val="26"/>
        </w:rPr>
        <w:t>cụ thể như sau:</w:t>
      </w:r>
    </w:p>
    <w:p w14:paraId="652AEC25" w14:textId="3D4A0B5A" w:rsidR="00902DAE" w:rsidRDefault="004C3644" w:rsidP="003E24C6">
      <w:pPr>
        <w:spacing w:before="120" w:after="0" w:line="240" w:lineRule="auto"/>
        <w:ind w:firstLine="709"/>
        <w:jc w:val="both"/>
        <w:rPr>
          <w:rFonts w:ascii="Times New Roman" w:hAnsi="Times New Roman" w:cs="Times New Roman"/>
          <w:sz w:val="26"/>
          <w:szCs w:val="26"/>
        </w:rPr>
      </w:pPr>
      <w:r w:rsidRPr="004C3644">
        <w:rPr>
          <w:rFonts w:ascii="Times New Roman" w:hAnsi="Times New Roman" w:cs="Times New Roman"/>
          <w:sz w:val="26"/>
          <w:szCs w:val="26"/>
        </w:rPr>
        <w:t>-</w:t>
      </w:r>
      <w:r>
        <w:rPr>
          <w:rFonts w:ascii="Times New Roman" w:hAnsi="Times New Roman" w:cs="Times New Roman"/>
          <w:sz w:val="26"/>
          <w:szCs w:val="26"/>
        </w:rPr>
        <w:t xml:space="preserve"> </w:t>
      </w:r>
      <w:r w:rsidRPr="004C3644">
        <w:rPr>
          <w:rFonts w:ascii="Times New Roman" w:hAnsi="Times New Roman" w:cs="Times New Roman"/>
          <w:sz w:val="26"/>
          <w:szCs w:val="26"/>
        </w:rPr>
        <w:t>V</w:t>
      </w:r>
      <w:r>
        <w:rPr>
          <w:rFonts w:ascii="Times New Roman" w:hAnsi="Times New Roman" w:cs="Times New Roman"/>
          <w:sz w:val="26"/>
          <w:szCs w:val="26"/>
        </w:rPr>
        <w:t>ề</w:t>
      </w:r>
      <w:r w:rsidR="005A1C62">
        <w:rPr>
          <w:rFonts w:ascii="Times New Roman" w:hAnsi="Times New Roman" w:cs="Times New Roman"/>
          <w:sz w:val="26"/>
          <w:szCs w:val="26"/>
        </w:rPr>
        <w:t xml:space="preserve"> phạm vi trợ giúp pháp lý</w:t>
      </w:r>
      <w:r w:rsidR="00A77F6A">
        <w:rPr>
          <w:rFonts w:ascii="Times New Roman" w:hAnsi="Times New Roman" w:cs="Times New Roman"/>
          <w:sz w:val="26"/>
          <w:szCs w:val="26"/>
        </w:rPr>
        <w:t>,</w:t>
      </w:r>
      <w:r w:rsidR="005A1C62">
        <w:rPr>
          <w:rFonts w:ascii="Times New Roman" w:hAnsi="Times New Roman" w:cs="Times New Roman"/>
          <w:sz w:val="26"/>
          <w:szCs w:val="26"/>
        </w:rPr>
        <w:t xml:space="preserve"> </w:t>
      </w:r>
      <w:r w:rsidR="005A1C62" w:rsidRPr="003E24C6">
        <w:rPr>
          <w:rFonts w:ascii="Times New Roman" w:hAnsi="Times New Roman" w:cs="Times New Roman"/>
          <w:i/>
          <w:iCs/>
          <w:sz w:val="26"/>
          <w:szCs w:val="26"/>
        </w:rPr>
        <w:t>"Luật sư trực"</w:t>
      </w:r>
      <w:r w:rsidR="005A1C62">
        <w:rPr>
          <w:rFonts w:ascii="Times New Roman" w:hAnsi="Times New Roman" w:cs="Times New Roman"/>
          <w:sz w:val="26"/>
          <w:szCs w:val="26"/>
        </w:rPr>
        <w:t xml:space="preserve"> được quyền</w:t>
      </w:r>
      <w:r w:rsidR="003E24C6">
        <w:rPr>
          <w:rFonts w:ascii="Times New Roman" w:hAnsi="Times New Roman" w:cs="Times New Roman"/>
          <w:sz w:val="26"/>
          <w:szCs w:val="26"/>
        </w:rPr>
        <w:t>: "</w:t>
      </w:r>
      <w:r w:rsidR="003E24C6" w:rsidRPr="003E24C6">
        <w:t xml:space="preserve"> </w:t>
      </w:r>
      <w:r w:rsidR="003E24C6" w:rsidRPr="003E24C6">
        <w:rPr>
          <w:rFonts w:ascii="Times New Roman" w:hAnsi="Times New Roman" w:cs="Times New Roman"/>
          <w:sz w:val="26"/>
          <w:szCs w:val="26"/>
        </w:rPr>
        <w:t>Cung cấp tư vấn pháp lý;</w:t>
      </w:r>
      <w:r w:rsidR="003E24C6">
        <w:rPr>
          <w:rFonts w:ascii="Times New Roman" w:hAnsi="Times New Roman" w:cs="Times New Roman"/>
          <w:sz w:val="26"/>
          <w:szCs w:val="26"/>
        </w:rPr>
        <w:t xml:space="preserve"> </w:t>
      </w:r>
      <w:r w:rsidR="003E24C6" w:rsidRPr="003E24C6">
        <w:rPr>
          <w:rFonts w:ascii="Times New Roman" w:hAnsi="Times New Roman" w:cs="Times New Roman"/>
          <w:sz w:val="26"/>
          <w:szCs w:val="26"/>
        </w:rPr>
        <w:t xml:space="preserve">Đưa ra gợi ý lựa chọn </w:t>
      </w:r>
      <w:r w:rsidR="003E24C6">
        <w:rPr>
          <w:rFonts w:ascii="Times New Roman" w:hAnsi="Times New Roman" w:cs="Times New Roman"/>
          <w:sz w:val="26"/>
          <w:szCs w:val="26"/>
        </w:rPr>
        <w:t>trình tự, thủ tục</w:t>
      </w:r>
      <w:r w:rsidR="003E24C6" w:rsidRPr="003E24C6">
        <w:rPr>
          <w:rFonts w:ascii="Times New Roman" w:hAnsi="Times New Roman" w:cs="Times New Roman"/>
          <w:sz w:val="26"/>
          <w:szCs w:val="26"/>
        </w:rPr>
        <w:t>;</w:t>
      </w:r>
      <w:r w:rsidR="003E24C6">
        <w:rPr>
          <w:rFonts w:ascii="Times New Roman" w:hAnsi="Times New Roman" w:cs="Times New Roman"/>
          <w:sz w:val="26"/>
          <w:szCs w:val="26"/>
        </w:rPr>
        <w:t xml:space="preserve"> </w:t>
      </w:r>
      <w:r w:rsidR="003E24C6" w:rsidRPr="003E24C6">
        <w:rPr>
          <w:rFonts w:ascii="Times New Roman" w:hAnsi="Times New Roman" w:cs="Times New Roman"/>
          <w:sz w:val="26"/>
          <w:szCs w:val="26"/>
        </w:rPr>
        <w:t>Giúp bị can, bị cáo xin thay đổi biện pháp cưỡng chế;</w:t>
      </w:r>
      <w:r w:rsidR="003E24C6">
        <w:rPr>
          <w:rFonts w:ascii="Times New Roman" w:hAnsi="Times New Roman" w:cs="Times New Roman"/>
          <w:sz w:val="26"/>
          <w:szCs w:val="26"/>
        </w:rPr>
        <w:t xml:space="preserve"> </w:t>
      </w:r>
      <w:r w:rsidR="003E24C6" w:rsidRPr="003E24C6">
        <w:rPr>
          <w:rFonts w:ascii="Times New Roman" w:hAnsi="Times New Roman" w:cs="Times New Roman"/>
          <w:sz w:val="26"/>
          <w:szCs w:val="26"/>
        </w:rPr>
        <w:t>Đưa ra ý kiến ​​về việc giải quyết vụ việc;</w:t>
      </w:r>
      <w:r w:rsidR="003E24C6">
        <w:rPr>
          <w:rFonts w:ascii="Times New Roman" w:hAnsi="Times New Roman" w:cs="Times New Roman"/>
          <w:sz w:val="26"/>
          <w:szCs w:val="26"/>
        </w:rPr>
        <w:t xml:space="preserve"> </w:t>
      </w:r>
      <w:r w:rsidR="003E24C6" w:rsidRPr="003E24C6">
        <w:rPr>
          <w:rFonts w:ascii="Times New Roman" w:hAnsi="Times New Roman" w:cs="Times New Roman"/>
          <w:sz w:val="26"/>
          <w:szCs w:val="26"/>
        </w:rPr>
        <w:t>Giúp bị can, bị cáo và người thân của họ nộp đơn xin trợ giúp pháp lý</w:t>
      </w:r>
      <w:r w:rsidR="00920B9E">
        <w:rPr>
          <w:rFonts w:ascii="Times New Roman" w:hAnsi="Times New Roman" w:cs="Times New Roman"/>
          <w:sz w:val="26"/>
          <w:szCs w:val="26"/>
        </w:rPr>
        <w:t xml:space="preserve">; </w:t>
      </w:r>
      <w:r w:rsidR="003E24C6" w:rsidRPr="003E24C6">
        <w:rPr>
          <w:rFonts w:ascii="Times New Roman" w:hAnsi="Times New Roman" w:cs="Times New Roman"/>
          <w:sz w:val="26"/>
          <w:szCs w:val="26"/>
        </w:rPr>
        <w:t>Các vấn đề khác theo quy định của pháp luật.</w:t>
      </w:r>
      <w:r w:rsidR="00920B9E">
        <w:rPr>
          <w:rFonts w:ascii="Times New Roman" w:hAnsi="Times New Roman" w:cs="Times New Roman"/>
          <w:sz w:val="26"/>
          <w:szCs w:val="26"/>
        </w:rPr>
        <w:t xml:space="preserve"> Trường hợp </w:t>
      </w:r>
      <w:r w:rsidR="00F53DCE">
        <w:rPr>
          <w:rFonts w:ascii="Times New Roman" w:hAnsi="Times New Roman" w:cs="Times New Roman"/>
          <w:sz w:val="26"/>
          <w:szCs w:val="26"/>
        </w:rPr>
        <w:t xml:space="preserve">người bị buộc tội nhận tội và chấp nhận hình phạt thì </w:t>
      </w:r>
      <w:r w:rsidR="00F53DCE" w:rsidRPr="003E24C6">
        <w:rPr>
          <w:rFonts w:ascii="Times New Roman" w:hAnsi="Times New Roman" w:cs="Times New Roman"/>
          <w:i/>
          <w:iCs/>
          <w:sz w:val="26"/>
          <w:szCs w:val="26"/>
        </w:rPr>
        <w:t>"Luật sư trực"</w:t>
      </w:r>
      <w:r w:rsidR="00A77F6A">
        <w:rPr>
          <w:rFonts w:ascii="Times New Roman" w:hAnsi="Times New Roman" w:cs="Times New Roman"/>
          <w:sz w:val="26"/>
          <w:szCs w:val="26"/>
        </w:rPr>
        <w:t xml:space="preserve"> còn được quyền: </w:t>
      </w:r>
      <w:r w:rsidR="00A77F6A" w:rsidRPr="00A77F6A">
        <w:rPr>
          <w:rFonts w:ascii="Times New Roman" w:hAnsi="Times New Roman" w:cs="Times New Roman"/>
          <w:sz w:val="26"/>
          <w:szCs w:val="26"/>
        </w:rPr>
        <w:t>Giải thích cho bị can, bị cáo về bản chất, quy định pháp luật của việc nhận tội và hình phạt;</w:t>
      </w:r>
      <w:r w:rsidR="00A77F6A">
        <w:rPr>
          <w:rFonts w:ascii="Times New Roman" w:hAnsi="Times New Roman" w:cs="Times New Roman"/>
          <w:sz w:val="26"/>
          <w:szCs w:val="26"/>
        </w:rPr>
        <w:t xml:space="preserve"> </w:t>
      </w:r>
      <w:r w:rsidR="00A77F6A" w:rsidRPr="00A77F6A">
        <w:rPr>
          <w:rFonts w:ascii="Times New Roman" w:hAnsi="Times New Roman" w:cs="Times New Roman"/>
          <w:sz w:val="26"/>
          <w:szCs w:val="26"/>
        </w:rPr>
        <w:t>Đưa ra ý kiến ​​về những cáo buộc mà Viện kiểm sát nhân dân buộc tội, kiến ​​nghị tuyên án, áp dụng thủ tục tố tụng và các vấn đề khác</w:t>
      </w:r>
      <w:r w:rsidR="00A77F6A">
        <w:rPr>
          <w:rFonts w:ascii="Times New Roman" w:hAnsi="Times New Roman" w:cs="Times New Roman"/>
          <w:sz w:val="26"/>
          <w:szCs w:val="26"/>
        </w:rPr>
        <w:t xml:space="preserve">; </w:t>
      </w:r>
      <w:r w:rsidR="00A77F6A" w:rsidRPr="00A77F6A">
        <w:rPr>
          <w:rFonts w:ascii="Times New Roman" w:hAnsi="Times New Roman" w:cs="Times New Roman"/>
          <w:sz w:val="26"/>
          <w:szCs w:val="26"/>
        </w:rPr>
        <w:t>Có mặt khi bị can ký giấy nhận tội và nhận hình phạt</w:t>
      </w:r>
      <w:r w:rsidR="00A77F6A">
        <w:rPr>
          <w:rFonts w:ascii="Times New Roman" w:hAnsi="Times New Roman" w:cs="Times New Roman"/>
          <w:sz w:val="26"/>
          <w:szCs w:val="26"/>
        </w:rPr>
        <w:t>.</w:t>
      </w:r>
    </w:p>
    <w:p w14:paraId="139B15C6" w14:textId="30304A84" w:rsidR="00A77F6A" w:rsidRDefault="00A77F6A" w:rsidP="003E24C6">
      <w:pPr>
        <w:spacing w:before="120"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00081E37">
        <w:rPr>
          <w:rFonts w:ascii="Times New Roman" w:hAnsi="Times New Roman" w:cs="Times New Roman"/>
          <w:sz w:val="26"/>
          <w:szCs w:val="26"/>
        </w:rPr>
        <w:t xml:space="preserve">Quyền được hẹn </w:t>
      </w:r>
      <w:r w:rsidR="00081E37" w:rsidRPr="00B80066">
        <w:rPr>
          <w:rFonts w:ascii="Times New Roman" w:hAnsi="Times New Roman" w:cs="Times New Roman"/>
          <w:i/>
          <w:iCs/>
          <w:sz w:val="26"/>
          <w:szCs w:val="26"/>
        </w:rPr>
        <w:t>"Luật sư trực"</w:t>
      </w:r>
      <w:r>
        <w:rPr>
          <w:rFonts w:ascii="Times New Roman" w:hAnsi="Times New Roman" w:cs="Times New Roman"/>
          <w:sz w:val="26"/>
          <w:szCs w:val="26"/>
        </w:rPr>
        <w:t xml:space="preserve"> </w:t>
      </w:r>
      <w:r w:rsidR="002E6C08" w:rsidRPr="00081E37">
        <w:rPr>
          <w:rFonts w:ascii="Times New Roman" w:hAnsi="Times New Roman" w:cs="Times New Roman"/>
          <w:sz w:val="26"/>
          <w:szCs w:val="26"/>
        </w:rPr>
        <w:t xml:space="preserve">để được trợ giúp pháp lý </w:t>
      </w:r>
      <w:r w:rsidR="00081E37">
        <w:rPr>
          <w:rFonts w:ascii="Times New Roman" w:hAnsi="Times New Roman" w:cs="Times New Roman"/>
          <w:sz w:val="26"/>
          <w:szCs w:val="26"/>
        </w:rPr>
        <w:t xml:space="preserve">cũng phải được </w:t>
      </w:r>
      <w:r w:rsidR="00081E37" w:rsidRPr="00081E37">
        <w:rPr>
          <w:rFonts w:ascii="Times New Roman" w:hAnsi="Times New Roman" w:cs="Times New Roman"/>
          <w:sz w:val="26"/>
          <w:szCs w:val="26"/>
        </w:rPr>
        <w:t>Cơ quan công an, Viện kiểm sát nhân dân, Tòa án nhân dân thông báo cho bị can, bị cáo không có người bào chữa trong từng giai đoạn điều tra, truy tố, xét xử</w:t>
      </w:r>
      <w:r w:rsidR="003846DE">
        <w:rPr>
          <w:rFonts w:ascii="Times New Roman" w:hAnsi="Times New Roman" w:cs="Times New Roman"/>
          <w:sz w:val="26"/>
          <w:szCs w:val="26"/>
        </w:rPr>
        <w:t>.</w:t>
      </w:r>
      <w:r w:rsidR="00081E37" w:rsidRPr="00081E37">
        <w:rPr>
          <w:rFonts w:ascii="Times New Roman" w:hAnsi="Times New Roman" w:cs="Times New Roman"/>
          <w:sz w:val="26"/>
          <w:szCs w:val="26"/>
        </w:rPr>
        <w:t xml:space="preserve"> </w:t>
      </w:r>
      <w:r w:rsidR="003846DE">
        <w:rPr>
          <w:rFonts w:ascii="Times New Roman" w:hAnsi="Times New Roman" w:cs="Times New Roman"/>
          <w:sz w:val="26"/>
          <w:szCs w:val="26"/>
        </w:rPr>
        <w:t>Các cơ quan này cũng phải</w:t>
      </w:r>
      <w:r w:rsidR="00081E37" w:rsidRPr="00081E37">
        <w:rPr>
          <w:rFonts w:ascii="Times New Roman" w:hAnsi="Times New Roman" w:cs="Times New Roman"/>
          <w:sz w:val="26"/>
          <w:szCs w:val="26"/>
        </w:rPr>
        <w:t xml:space="preserve"> tạo điều kiện thuận lợi cho </w:t>
      </w:r>
      <w:r w:rsidR="00200603">
        <w:rPr>
          <w:rFonts w:ascii="Times New Roman" w:hAnsi="Times New Roman" w:cs="Times New Roman"/>
          <w:sz w:val="26"/>
          <w:szCs w:val="26"/>
        </w:rPr>
        <w:t>bị can, bị cáo</w:t>
      </w:r>
      <w:r w:rsidR="00081E37" w:rsidRPr="00081E37">
        <w:rPr>
          <w:rFonts w:ascii="Times New Roman" w:hAnsi="Times New Roman" w:cs="Times New Roman"/>
          <w:sz w:val="26"/>
          <w:szCs w:val="26"/>
        </w:rPr>
        <w:t xml:space="preserve"> trong cuộc hẹn với luật sư trực.</w:t>
      </w:r>
    </w:p>
    <w:p w14:paraId="794B7EF3" w14:textId="3EC26020" w:rsidR="003846DE" w:rsidRDefault="003846DE" w:rsidP="003E24C6">
      <w:pPr>
        <w:spacing w:before="120"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B80066">
        <w:rPr>
          <w:rFonts w:ascii="Times New Roman" w:hAnsi="Times New Roman" w:cs="Times New Roman"/>
          <w:sz w:val="26"/>
          <w:szCs w:val="26"/>
        </w:rPr>
        <w:t xml:space="preserve">Hình thức bố trí </w:t>
      </w:r>
      <w:r w:rsidR="00B80066" w:rsidRPr="00B80066">
        <w:rPr>
          <w:rFonts w:ascii="Times New Roman" w:hAnsi="Times New Roman" w:cs="Times New Roman"/>
          <w:i/>
          <w:iCs/>
          <w:sz w:val="26"/>
          <w:szCs w:val="26"/>
        </w:rPr>
        <w:t>"Luật sư trực"</w:t>
      </w:r>
      <w:r w:rsidR="00B80066">
        <w:rPr>
          <w:rFonts w:ascii="Times New Roman" w:hAnsi="Times New Roman" w:cs="Times New Roman"/>
          <w:sz w:val="26"/>
          <w:szCs w:val="26"/>
        </w:rPr>
        <w:t xml:space="preserve"> cũng rất linh hoạt căn cứ trên cơ sở nguồn lực luật sư và nhu cầu trợ giúp pháp lý của địa phương. Hình thức làm việc của </w:t>
      </w:r>
      <w:r w:rsidR="00B80066" w:rsidRPr="00B80066">
        <w:rPr>
          <w:rFonts w:ascii="Times New Roman" w:hAnsi="Times New Roman" w:cs="Times New Roman"/>
          <w:i/>
          <w:iCs/>
          <w:sz w:val="26"/>
          <w:szCs w:val="26"/>
        </w:rPr>
        <w:t>"Luật sư trực"</w:t>
      </w:r>
      <w:r w:rsidR="00B80066">
        <w:rPr>
          <w:rFonts w:ascii="Times New Roman" w:hAnsi="Times New Roman" w:cs="Times New Roman"/>
          <w:sz w:val="26"/>
          <w:szCs w:val="26"/>
        </w:rPr>
        <w:t xml:space="preserve"> có thể là trực tiếp, qua điện thoại hoặc làm việc trực tuyến.</w:t>
      </w:r>
      <w:r w:rsidR="005D25C6">
        <w:rPr>
          <w:rFonts w:ascii="Times New Roman" w:hAnsi="Times New Roman" w:cs="Times New Roman"/>
          <w:sz w:val="26"/>
          <w:szCs w:val="26"/>
        </w:rPr>
        <w:t xml:space="preserve"> Nếu bố trí làm việc trực tiếp thì có thể là một người hoặc luân phiên theo lịch biểu.</w:t>
      </w:r>
      <w:r w:rsidR="00CA63C7" w:rsidRPr="00CA63C7">
        <w:t xml:space="preserve"> </w:t>
      </w:r>
      <w:r w:rsidR="00CA63C7" w:rsidRPr="00CA63C7">
        <w:rPr>
          <w:rFonts w:ascii="Times New Roman" w:hAnsi="Times New Roman" w:cs="Times New Roman"/>
          <w:sz w:val="26"/>
          <w:szCs w:val="26"/>
        </w:rPr>
        <w:t>Đối với những khu vực còn thiếu nguồn lực luật sư, có thể sử dụng các phương pháp như điều phối, phân bổ nguồn lực luật sư trong phạm vi tỉnh, thành phố và xây dựng cơ chế để Chính phủ mua dịch vụ luật sư hành nghề để đảm bảo công việc của luật sư đang thi hành công vụ</w:t>
      </w:r>
      <w:r w:rsidR="00987938">
        <w:rPr>
          <w:rFonts w:ascii="Times New Roman" w:hAnsi="Times New Roman" w:cs="Times New Roman"/>
          <w:sz w:val="26"/>
          <w:szCs w:val="26"/>
        </w:rPr>
        <w:t>.</w:t>
      </w:r>
    </w:p>
    <w:p w14:paraId="16035CCC" w14:textId="0A7BCB6B" w:rsidR="0084768F" w:rsidRDefault="005D25C6" w:rsidP="0084768F">
      <w:pPr>
        <w:spacing w:before="120"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A113AF">
        <w:rPr>
          <w:rFonts w:ascii="Times New Roman" w:hAnsi="Times New Roman" w:cs="Times New Roman"/>
          <w:sz w:val="26"/>
          <w:szCs w:val="26"/>
        </w:rPr>
        <w:t xml:space="preserve">Trung tâm trợ giúp pháp lý được thành lập các </w:t>
      </w:r>
      <w:r w:rsidR="00A113AF" w:rsidRPr="00A113AF">
        <w:rPr>
          <w:rFonts w:ascii="Times New Roman" w:hAnsi="Times New Roman" w:cs="Times New Roman"/>
          <w:i/>
          <w:iCs/>
          <w:sz w:val="26"/>
          <w:szCs w:val="26"/>
        </w:rPr>
        <w:t>"Trạm trợ giúp pháp lý"</w:t>
      </w:r>
      <w:r w:rsidR="00A113AF">
        <w:rPr>
          <w:rFonts w:ascii="Times New Roman" w:hAnsi="Times New Roman" w:cs="Times New Roman"/>
          <w:sz w:val="26"/>
          <w:szCs w:val="26"/>
        </w:rPr>
        <w:t xml:space="preserve"> ở các trại tạm giam, Viện kiểm sát nhân dân, TAND. Các trạm này được trang bị cơ sở vật chất, trang thiết bị đầy đủ để phục vụ việc trợ giúp pháp lý</w:t>
      </w:r>
      <w:r w:rsidR="003948BB">
        <w:rPr>
          <w:rFonts w:ascii="Times New Roman" w:hAnsi="Times New Roman" w:cs="Times New Roman"/>
          <w:sz w:val="26"/>
          <w:szCs w:val="26"/>
        </w:rPr>
        <w:t>.</w:t>
      </w:r>
      <w:r w:rsidR="00ED6C7B">
        <w:rPr>
          <w:rFonts w:ascii="Times New Roman" w:hAnsi="Times New Roman" w:cs="Times New Roman"/>
          <w:sz w:val="26"/>
          <w:szCs w:val="26"/>
        </w:rPr>
        <w:t xml:space="preserve"> </w:t>
      </w:r>
      <w:r w:rsidR="003948BB">
        <w:rPr>
          <w:rFonts w:ascii="Times New Roman" w:hAnsi="Times New Roman" w:cs="Times New Roman"/>
          <w:sz w:val="26"/>
          <w:szCs w:val="26"/>
        </w:rPr>
        <w:t xml:space="preserve">Các </w:t>
      </w:r>
      <w:r w:rsidR="003948BB" w:rsidRPr="00B80066">
        <w:rPr>
          <w:rFonts w:ascii="Times New Roman" w:hAnsi="Times New Roman" w:cs="Times New Roman"/>
          <w:i/>
          <w:iCs/>
          <w:sz w:val="26"/>
          <w:szCs w:val="26"/>
        </w:rPr>
        <w:t>"Luật sư trực"</w:t>
      </w:r>
      <w:r w:rsidR="002C4DAD">
        <w:rPr>
          <w:rFonts w:ascii="Times New Roman" w:hAnsi="Times New Roman" w:cs="Times New Roman"/>
          <w:sz w:val="26"/>
          <w:szCs w:val="26"/>
        </w:rPr>
        <w:t xml:space="preserve"> cũng được hưởng thù lao </w:t>
      </w:r>
      <w:r w:rsidR="00745465">
        <w:rPr>
          <w:rFonts w:ascii="Times New Roman" w:hAnsi="Times New Roman" w:cs="Times New Roman"/>
          <w:sz w:val="26"/>
          <w:szCs w:val="26"/>
        </w:rPr>
        <w:t xml:space="preserve">trực tiếp </w:t>
      </w:r>
      <w:r w:rsidR="002C4DAD">
        <w:rPr>
          <w:rFonts w:ascii="Times New Roman" w:hAnsi="Times New Roman" w:cs="Times New Roman"/>
          <w:sz w:val="26"/>
          <w:szCs w:val="26"/>
        </w:rPr>
        <w:t>từ ngân sách nhà nước.</w:t>
      </w:r>
      <w:r w:rsidR="007B7FFB">
        <w:rPr>
          <w:rFonts w:ascii="Times New Roman" w:hAnsi="Times New Roman" w:cs="Times New Roman"/>
          <w:sz w:val="26"/>
          <w:szCs w:val="26"/>
        </w:rPr>
        <w:t xml:space="preserve"> Thông tư cũng quy định các cơ chế để đào tạo, huấn luyện </w:t>
      </w:r>
      <w:r w:rsidR="007B7FFB" w:rsidRPr="00B80066">
        <w:rPr>
          <w:rFonts w:ascii="Times New Roman" w:hAnsi="Times New Roman" w:cs="Times New Roman"/>
          <w:i/>
          <w:iCs/>
          <w:sz w:val="26"/>
          <w:szCs w:val="26"/>
        </w:rPr>
        <w:t>"Luật sư trực"</w:t>
      </w:r>
      <w:r w:rsidR="00E60FFA">
        <w:rPr>
          <w:rFonts w:ascii="Times New Roman" w:hAnsi="Times New Roman" w:cs="Times New Roman"/>
          <w:sz w:val="26"/>
          <w:szCs w:val="26"/>
        </w:rPr>
        <w:t xml:space="preserve"> trước khi thực hiện nhiệm vụ</w:t>
      </w:r>
      <w:r w:rsidR="0084768F">
        <w:rPr>
          <w:rFonts w:ascii="Times New Roman" w:hAnsi="Times New Roman" w:cs="Times New Roman"/>
          <w:sz w:val="26"/>
          <w:szCs w:val="26"/>
        </w:rPr>
        <w:t>.</w:t>
      </w:r>
    </w:p>
    <w:p w14:paraId="6AF665B4" w14:textId="1318043E" w:rsidR="00724AAF" w:rsidRDefault="00724AAF" w:rsidP="0084768F">
      <w:pPr>
        <w:spacing w:before="120"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Có thể thấy rằng quy định về </w:t>
      </w:r>
      <w:r w:rsidRPr="00724AAF">
        <w:rPr>
          <w:rFonts w:ascii="Times New Roman" w:hAnsi="Times New Roman" w:cs="Times New Roman"/>
          <w:i/>
          <w:sz w:val="26"/>
          <w:szCs w:val="26"/>
        </w:rPr>
        <w:t>"Luật sư trực"</w:t>
      </w:r>
      <w:r>
        <w:rPr>
          <w:rFonts w:ascii="Times New Roman" w:hAnsi="Times New Roman" w:cs="Times New Roman"/>
          <w:sz w:val="26"/>
          <w:szCs w:val="26"/>
        </w:rPr>
        <w:t xml:space="preserve"> tại Trung Quốc khá tiến bộ, góp phần bảo vệ</w:t>
      </w:r>
      <w:r w:rsidR="007E3DFD">
        <w:rPr>
          <w:rFonts w:ascii="Times New Roman" w:hAnsi="Times New Roman" w:cs="Times New Roman"/>
          <w:sz w:val="26"/>
          <w:szCs w:val="26"/>
        </w:rPr>
        <w:t xml:space="preserve"> hiệu quả và</w:t>
      </w:r>
      <w:r>
        <w:rPr>
          <w:rFonts w:ascii="Times New Roman" w:hAnsi="Times New Roman" w:cs="Times New Roman"/>
          <w:sz w:val="26"/>
          <w:szCs w:val="26"/>
        </w:rPr>
        <w:t xml:space="preserve"> kịp thời </w:t>
      </w:r>
      <w:r w:rsidR="000A38DC">
        <w:rPr>
          <w:rFonts w:ascii="Times New Roman" w:hAnsi="Times New Roman" w:cs="Times New Roman"/>
          <w:sz w:val="26"/>
          <w:szCs w:val="26"/>
        </w:rPr>
        <w:t xml:space="preserve">quyền và lợi ích hợp pháp của </w:t>
      </w:r>
      <w:r w:rsidR="00557C6C">
        <w:rPr>
          <w:rFonts w:ascii="Times New Roman" w:hAnsi="Times New Roman" w:cs="Times New Roman"/>
          <w:sz w:val="26"/>
          <w:szCs w:val="26"/>
        </w:rPr>
        <w:t>người chưa thành niên nói riêng và các đối tượng</w:t>
      </w:r>
      <w:r w:rsidR="00D8326F">
        <w:rPr>
          <w:rFonts w:ascii="Times New Roman" w:hAnsi="Times New Roman" w:cs="Times New Roman"/>
          <w:sz w:val="26"/>
          <w:szCs w:val="26"/>
        </w:rPr>
        <w:t xml:space="preserve"> được trợ giúp pháp lý nói chung.</w:t>
      </w:r>
    </w:p>
    <w:p w14:paraId="0BAA1779" w14:textId="4666BD97" w:rsidR="00987938" w:rsidRPr="00196C27" w:rsidRDefault="00987938" w:rsidP="0084768F">
      <w:pPr>
        <w:spacing w:before="120" w:after="0" w:line="240" w:lineRule="auto"/>
        <w:ind w:firstLine="709"/>
        <w:jc w:val="both"/>
        <w:rPr>
          <w:rFonts w:ascii="Times New Roman" w:hAnsi="Times New Roman" w:cs="Times New Roman"/>
          <w:sz w:val="26"/>
          <w:szCs w:val="26"/>
          <w:lang w:val="vi-VN"/>
        </w:rPr>
      </w:pPr>
      <w:r w:rsidRPr="006C663E">
        <w:rPr>
          <w:rFonts w:ascii="Times New Roman" w:hAnsi="Times New Roman" w:cs="Times New Roman"/>
          <w:sz w:val="26"/>
          <w:szCs w:val="26"/>
          <w:lang w:val="vi-VN"/>
        </w:rPr>
        <w:t xml:space="preserve"> </w:t>
      </w:r>
      <w:r w:rsidR="00EB5A87" w:rsidRPr="00724AAF">
        <w:rPr>
          <w:rFonts w:ascii="Times New Roman" w:hAnsi="Times New Roman" w:cs="Times New Roman"/>
          <w:sz w:val="26"/>
          <w:szCs w:val="26"/>
          <w:lang w:val="vi-VN"/>
        </w:rPr>
        <w:t>Về chỉ định người bào chữa,</w:t>
      </w:r>
      <w:r w:rsidR="0084768F" w:rsidRPr="00724AAF">
        <w:rPr>
          <w:rFonts w:ascii="Times New Roman" w:hAnsi="Times New Roman" w:cs="Times New Roman"/>
          <w:sz w:val="26"/>
          <w:szCs w:val="26"/>
          <w:lang w:val="vi-VN"/>
        </w:rPr>
        <w:t xml:space="preserve"> </w:t>
      </w:r>
      <w:r w:rsidRPr="006C663E">
        <w:rPr>
          <w:rFonts w:ascii="Times New Roman" w:hAnsi="Times New Roman" w:cs="Times New Roman"/>
          <w:sz w:val="26"/>
          <w:szCs w:val="26"/>
          <w:lang w:val="vi-VN"/>
        </w:rPr>
        <w:t>theo quy định tại Điều 278 Luật TTHS Trung Quốc năm 2018 thì trường hợp bị can, bị cáo phạm tội chưa thành niên không có yêu cầu người bào chữa thì Tòa án nhân dân, Viện kiểm sát nhân dân, cơ quan công an có liên quan thông báo cho cơ quan trợ giúp pháp lý để cử luật sư bào chữa cho người chưa thành niên. Khoản 1 Điều 25 Luật Trợ giúp pháp lý Trung Quốc năm 2021</w:t>
      </w:r>
      <w:r w:rsidR="002C2CCF" w:rsidRPr="002C2CCF">
        <w:rPr>
          <w:rFonts w:ascii="Times New Roman" w:hAnsi="Times New Roman" w:cs="Times New Roman"/>
          <w:sz w:val="26"/>
          <w:szCs w:val="26"/>
          <w:lang w:val="vi-VN"/>
        </w:rPr>
        <w:t xml:space="preserve"> cũng có </w:t>
      </w:r>
      <w:r w:rsidR="00361A8E" w:rsidRPr="00361A8E">
        <w:rPr>
          <w:rFonts w:ascii="Times New Roman" w:hAnsi="Times New Roman" w:cs="Times New Roman"/>
          <w:sz w:val="26"/>
          <w:szCs w:val="26"/>
          <w:lang w:val="vi-VN"/>
        </w:rPr>
        <w:t>quy định tương tự.</w:t>
      </w:r>
      <w:r w:rsidR="001970E2" w:rsidRPr="001970E2">
        <w:rPr>
          <w:rFonts w:ascii="Times New Roman" w:hAnsi="Times New Roman" w:cs="Times New Roman"/>
          <w:sz w:val="26"/>
          <w:szCs w:val="26"/>
          <w:lang w:val="vi-VN"/>
        </w:rPr>
        <w:t xml:space="preserve"> Về cơ bản, </w:t>
      </w:r>
      <w:r w:rsidR="00D239EA" w:rsidRPr="00D239EA">
        <w:rPr>
          <w:rFonts w:ascii="Times New Roman" w:hAnsi="Times New Roman" w:cs="Times New Roman"/>
          <w:sz w:val="26"/>
          <w:szCs w:val="26"/>
          <w:lang w:val="vi-VN"/>
        </w:rPr>
        <w:t>bị can, bị cáo</w:t>
      </w:r>
      <w:r w:rsidR="001970E2" w:rsidRPr="001970E2">
        <w:rPr>
          <w:rFonts w:ascii="Times New Roman" w:hAnsi="Times New Roman" w:cs="Times New Roman"/>
          <w:sz w:val="26"/>
          <w:szCs w:val="26"/>
          <w:lang w:val="vi-VN"/>
        </w:rPr>
        <w:t xml:space="preserve"> chưa thành niên được bảo đảm quyền được bào chữa</w:t>
      </w:r>
      <w:r w:rsidR="00196C27" w:rsidRPr="00196C27">
        <w:rPr>
          <w:rFonts w:ascii="Times New Roman" w:hAnsi="Times New Roman" w:cs="Times New Roman"/>
          <w:sz w:val="26"/>
          <w:szCs w:val="26"/>
          <w:lang w:val="vi-VN"/>
        </w:rPr>
        <w:t xml:space="preserve"> tương tự như pháp luật Việt Nam.</w:t>
      </w:r>
    </w:p>
    <w:p w14:paraId="403AA634" w14:textId="52DBD4E1" w:rsidR="001A664A" w:rsidRPr="00987938" w:rsidRDefault="00CB29F4" w:rsidP="00E67DD7">
      <w:pPr>
        <w:spacing w:before="120" w:after="0" w:line="240" w:lineRule="auto"/>
        <w:ind w:firstLine="709"/>
        <w:jc w:val="both"/>
        <w:rPr>
          <w:rFonts w:ascii="Times New Roman" w:hAnsi="Times New Roman" w:cs="Times New Roman"/>
          <w:sz w:val="26"/>
          <w:szCs w:val="26"/>
          <w:lang w:val="vi-VN"/>
        </w:rPr>
      </w:pPr>
      <w:r w:rsidRPr="00CB29F4">
        <w:rPr>
          <w:rFonts w:ascii="Times New Roman" w:hAnsi="Times New Roman" w:cs="Times New Roman"/>
          <w:sz w:val="26"/>
          <w:szCs w:val="26"/>
          <w:lang w:val="vi-VN"/>
        </w:rPr>
        <w:t>Ngoài ra</w:t>
      </w:r>
      <w:r w:rsidR="003A218E" w:rsidRPr="003A218E">
        <w:rPr>
          <w:rFonts w:ascii="Times New Roman" w:hAnsi="Times New Roman" w:cs="Times New Roman"/>
          <w:sz w:val="26"/>
          <w:szCs w:val="26"/>
          <w:lang w:val="vi-VN"/>
        </w:rPr>
        <w:t xml:space="preserve">, vai trò của người bào chữa </w:t>
      </w:r>
      <w:r w:rsidR="005640AB" w:rsidRPr="005640AB">
        <w:rPr>
          <w:rFonts w:ascii="Times New Roman" w:hAnsi="Times New Roman" w:cs="Times New Roman"/>
          <w:sz w:val="26"/>
          <w:szCs w:val="26"/>
          <w:lang w:val="vi-VN"/>
        </w:rPr>
        <w:t xml:space="preserve">khi bị can, bị cáo chưa thành niên bị bắt </w:t>
      </w:r>
      <w:r w:rsidR="00CC6B65" w:rsidRPr="00CC6B65">
        <w:rPr>
          <w:rFonts w:ascii="Times New Roman" w:hAnsi="Times New Roman" w:cs="Times New Roman"/>
          <w:sz w:val="26"/>
          <w:szCs w:val="26"/>
          <w:lang w:val="vi-VN"/>
        </w:rPr>
        <w:t xml:space="preserve">cũng rất được </w:t>
      </w:r>
      <w:r w:rsidR="003B0B3D" w:rsidRPr="003B0B3D">
        <w:rPr>
          <w:rFonts w:ascii="Times New Roman" w:hAnsi="Times New Roman" w:cs="Times New Roman"/>
          <w:sz w:val="26"/>
          <w:szCs w:val="26"/>
          <w:lang w:val="vi-VN"/>
        </w:rPr>
        <w:t>đề ca</w:t>
      </w:r>
      <w:r w:rsidR="003B0B3D" w:rsidRPr="008C7966">
        <w:rPr>
          <w:rFonts w:ascii="Times New Roman" w:hAnsi="Times New Roman" w:cs="Times New Roman"/>
          <w:sz w:val="26"/>
          <w:szCs w:val="26"/>
          <w:lang w:val="vi-VN"/>
        </w:rPr>
        <w:t>o</w:t>
      </w:r>
      <w:r w:rsidR="00CC6B65" w:rsidRPr="00CC6B65">
        <w:rPr>
          <w:rFonts w:ascii="Times New Roman" w:hAnsi="Times New Roman" w:cs="Times New Roman"/>
          <w:sz w:val="26"/>
          <w:szCs w:val="26"/>
          <w:lang w:val="vi-VN"/>
        </w:rPr>
        <w:t xml:space="preserve">, thể hiện tại </w:t>
      </w:r>
      <w:r w:rsidR="00987938" w:rsidRPr="006C663E">
        <w:rPr>
          <w:rFonts w:ascii="Times New Roman" w:hAnsi="Times New Roman" w:cs="Times New Roman"/>
          <w:sz w:val="26"/>
          <w:szCs w:val="26"/>
          <w:lang w:val="vi-VN"/>
        </w:rPr>
        <w:t>Điều 280 Luật TTHS Trung Quốc năm 2018</w:t>
      </w:r>
      <w:r w:rsidR="0057722E" w:rsidRPr="0057722E">
        <w:rPr>
          <w:rFonts w:ascii="Times New Roman" w:hAnsi="Times New Roman" w:cs="Times New Roman"/>
          <w:sz w:val="26"/>
          <w:szCs w:val="26"/>
          <w:lang w:val="vi-VN"/>
        </w:rPr>
        <w:t xml:space="preserve">: </w:t>
      </w:r>
      <w:r w:rsidR="0057722E" w:rsidRPr="00C15B13">
        <w:rPr>
          <w:rFonts w:ascii="Times New Roman" w:hAnsi="Times New Roman" w:cs="Times New Roman"/>
          <w:i/>
          <w:iCs/>
          <w:sz w:val="26"/>
          <w:szCs w:val="26"/>
          <w:lang w:val="vi-VN"/>
        </w:rPr>
        <w:t>"T</w:t>
      </w:r>
      <w:r w:rsidR="00987938" w:rsidRPr="00C15B13">
        <w:rPr>
          <w:rFonts w:ascii="Times New Roman" w:hAnsi="Times New Roman" w:cs="Times New Roman"/>
          <w:i/>
          <w:iCs/>
          <w:sz w:val="26"/>
          <w:szCs w:val="26"/>
          <w:lang w:val="vi-VN"/>
        </w:rPr>
        <w:t>rường hợp Viện Kiểm Sát xem xét, phê chuẩn hoặc Tòa án nhân dân quyết định bắt bị can, bị cáo chưa thành niên thì phải nghe ý kiến của người bào chữa</w:t>
      </w:r>
      <w:r w:rsidR="00C15B13" w:rsidRPr="008A7B6F">
        <w:rPr>
          <w:rFonts w:ascii="Times New Roman" w:hAnsi="Times New Roman" w:cs="Times New Roman"/>
          <w:sz w:val="26"/>
          <w:szCs w:val="26"/>
          <w:lang w:val="vi-VN"/>
        </w:rPr>
        <w:t>"</w:t>
      </w:r>
      <w:r w:rsidR="00987938" w:rsidRPr="006C663E">
        <w:rPr>
          <w:rFonts w:ascii="Times New Roman" w:hAnsi="Times New Roman" w:cs="Times New Roman"/>
          <w:sz w:val="26"/>
          <w:szCs w:val="26"/>
          <w:lang w:val="vi-VN"/>
        </w:rPr>
        <w:t xml:space="preserve">. Điều luật quy định cơ quan tiến hành tố tụng </w:t>
      </w:r>
      <w:r w:rsidR="006C4BBF" w:rsidRPr="006C4BBF">
        <w:rPr>
          <w:rFonts w:ascii="Times New Roman" w:hAnsi="Times New Roman" w:cs="Times New Roman"/>
          <w:sz w:val="26"/>
          <w:szCs w:val="26"/>
          <w:lang w:val="vi-VN"/>
        </w:rPr>
        <w:t xml:space="preserve">trước khi bắt bị can, bị cáo là người chưa thành niên thì </w:t>
      </w:r>
      <w:r w:rsidR="00987938" w:rsidRPr="006C663E">
        <w:rPr>
          <w:rFonts w:ascii="Times New Roman" w:hAnsi="Times New Roman" w:cs="Times New Roman"/>
          <w:sz w:val="26"/>
          <w:szCs w:val="26"/>
          <w:lang w:val="vi-VN"/>
        </w:rPr>
        <w:t>phải lắng nghe một cách chủ động ý kiến của người bào chữa</w:t>
      </w:r>
      <w:r w:rsidR="00C959B1" w:rsidRPr="00C959B1">
        <w:rPr>
          <w:rFonts w:ascii="Times New Roman" w:hAnsi="Times New Roman" w:cs="Times New Roman"/>
          <w:sz w:val="26"/>
          <w:szCs w:val="26"/>
          <w:lang w:val="vi-VN"/>
        </w:rPr>
        <w:t xml:space="preserve">. </w:t>
      </w:r>
      <w:r w:rsidR="00056191" w:rsidRPr="00056191">
        <w:rPr>
          <w:rFonts w:ascii="Times New Roman" w:hAnsi="Times New Roman" w:cs="Times New Roman"/>
          <w:sz w:val="26"/>
          <w:szCs w:val="26"/>
          <w:lang w:val="vi-VN"/>
        </w:rPr>
        <w:t>Vi</w:t>
      </w:r>
      <w:r w:rsidR="00056191" w:rsidRPr="00B473CD">
        <w:rPr>
          <w:rFonts w:ascii="Times New Roman" w:hAnsi="Times New Roman" w:cs="Times New Roman"/>
          <w:sz w:val="26"/>
          <w:szCs w:val="26"/>
          <w:lang w:val="vi-VN"/>
        </w:rPr>
        <w:t>ệc</w:t>
      </w:r>
      <w:r w:rsidR="00987938" w:rsidRPr="006C663E">
        <w:rPr>
          <w:rFonts w:ascii="Times New Roman" w:hAnsi="Times New Roman" w:cs="Times New Roman"/>
          <w:sz w:val="26"/>
          <w:szCs w:val="26"/>
          <w:lang w:val="vi-VN"/>
        </w:rPr>
        <w:t xml:space="preserve"> bắt bị can, bị cáo sẽ bảo đảm khách quan khi luôn luôn được xem xét, cân nhắc ý kiến của người bào chữa</w:t>
      </w:r>
      <w:r w:rsidR="00B473CD" w:rsidRPr="00B473CD">
        <w:rPr>
          <w:rFonts w:ascii="Times New Roman" w:hAnsi="Times New Roman" w:cs="Times New Roman"/>
          <w:sz w:val="26"/>
          <w:szCs w:val="26"/>
          <w:lang w:val="vi-VN"/>
        </w:rPr>
        <w:t xml:space="preserve"> trước khi thực hiện.</w:t>
      </w:r>
    </w:p>
    <w:p w14:paraId="553D2E55" w14:textId="5834C409" w:rsidR="001B51A0" w:rsidRPr="00CD0104" w:rsidRDefault="00CD0104" w:rsidP="009A6717">
      <w:pPr>
        <w:spacing w:before="120" w:after="0" w:line="240" w:lineRule="auto"/>
        <w:ind w:firstLine="709"/>
        <w:jc w:val="both"/>
        <w:rPr>
          <w:rFonts w:ascii="Times New Roman" w:hAnsi="Times New Roman" w:cs="Times New Roman"/>
          <w:b/>
          <w:bCs/>
          <w:i/>
          <w:iCs/>
          <w:sz w:val="26"/>
          <w:szCs w:val="26"/>
          <w:lang w:val="vi-VN"/>
        </w:rPr>
      </w:pPr>
      <w:r w:rsidRPr="00CD0104">
        <w:rPr>
          <w:rFonts w:ascii="Times New Roman" w:hAnsi="Times New Roman" w:cs="Times New Roman"/>
          <w:b/>
          <w:bCs/>
          <w:i/>
          <w:iCs/>
          <w:sz w:val="26"/>
          <w:szCs w:val="26"/>
          <w:lang w:val="vi-VN"/>
        </w:rPr>
        <w:t>2.</w:t>
      </w:r>
      <w:r w:rsidR="007062D4" w:rsidRPr="00CD0104">
        <w:rPr>
          <w:rFonts w:ascii="Times New Roman" w:hAnsi="Times New Roman" w:cs="Times New Roman"/>
          <w:b/>
          <w:bCs/>
          <w:i/>
          <w:iCs/>
          <w:sz w:val="26"/>
          <w:szCs w:val="26"/>
          <w:lang w:val="vi-VN"/>
        </w:rPr>
        <w:t>2</w:t>
      </w:r>
      <w:r w:rsidR="00852554" w:rsidRPr="00CD0104">
        <w:rPr>
          <w:rFonts w:ascii="Times New Roman" w:hAnsi="Times New Roman" w:cs="Times New Roman"/>
          <w:b/>
          <w:bCs/>
          <w:i/>
          <w:iCs/>
          <w:sz w:val="26"/>
          <w:szCs w:val="26"/>
          <w:lang w:val="vi-VN"/>
        </w:rPr>
        <w:t xml:space="preserve">. </w:t>
      </w:r>
      <w:r w:rsidR="009F18F4" w:rsidRPr="00CD0104">
        <w:rPr>
          <w:rFonts w:ascii="Times New Roman" w:hAnsi="Times New Roman" w:cs="Times New Roman"/>
          <w:b/>
          <w:bCs/>
          <w:i/>
          <w:iCs/>
          <w:sz w:val="26"/>
          <w:szCs w:val="26"/>
          <w:lang w:val="vi-VN"/>
        </w:rPr>
        <w:t xml:space="preserve">Nguyên tắc </w:t>
      </w:r>
      <w:r w:rsidR="000812C0" w:rsidRPr="00CD0104">
        <w:rPr>
          <w:rFonts w:ascii="Times New Roman" w:hAnsi="Times New Roman" w:cs="Times New Roman"/>
          <w:b/>
          <w:bCs/>
          <w:i/>
          <w:iCs/>
          <w:sz w:val="26"/>
          <w:szCs w:val="26"/>
          <w:lang w:val="vi-VN"/>
        </w:rPr>
        <w:t>ưu tiên giáo dục đối với người chưa thành niên</w:t>
      </w:r>
      <w:r w:rsidR="00661D58" w:rsidRPr="00CD0104">
        <w:rPr>
          <w:rFonts w:ascii="Times New Roman" w:hAnsi="Times New Roman" w:cs="Times New Roman"/>
          <w:b/>
          <w:bCs/>
          <w:i/>
          <w:iCs/>
          <w:sz w:val="26"/>
          <w:szCs w:val="26"/>
          <w:lang w:val="vi-VN"/>
        </w:rPr>
        <w:t xml:space="preserve"> </w:t>
      </w:r>
      <w:r w:rsidR="000D6D0C" w:rsidRPr="00CD0104">
        <w:rPr>
          <w:rFonts w:ascii="Times New Roman" w:hAnsi="Times New Roman" w:cs="Times New Roman"/>
          <w:b/>
          <w:bCs/>
          <w:i/>
          <w:iCs/>
          <w:sz w:val="26"/>
          <w:szCs w:val="26"/>
          <w:lang w:val="vi-VN"/>
        </w:rPr>
        <w:t>phạm tội</w:t>
      </w:r>
      <w:r w:rsidR="00647763" w:rsidRPr="00CD0104">
        <w:rPr>
          <w:rFonts w:ascii="Times New Roman" w:hAnsi="Times New Roman" w:cs="Times New Roman"/>
          <w:b/>
          <w:bCs/>
          <w:i/>
          <w:iCs/>
          <w:sz w:val="26"/>
          <w:szCs w:val="26"/>
          <w:lang w:val="vi-VN"/>
        </w:rPr>
        <w:t xml:space="preserve"> </w:t>
      </w:r>
      <w:r w:rsidR="004A6767" w:rsidRPr="00CD0104">
        <w:rPr>
          <w:rFonts w:ascii="Times New Roman" w:hAnsi="Times New Roman" w:cs="Times New Roman"/>
          <w:b/>
          <w:bCs/>
          <w:i/>
          <w:iCs/>
          <w:sz w:val="26"/>
          <w:szCs w:val="26"/>
          <w:lang w:val="vi-VN"/>
        </w:rPr>
        <w:t>trong tố tụng hình sự</w:t>
      </w:r>
    </w:p>
    <w:p w14:paraId="63682B0D" w14:textId="3935BC64" w:rsidR="00EE055B" w:rsidRPr="00221EFC" w:rsidRDefault="00661D58" w:rsidP="009A6717">
      <w:pPr>
        <w:spacing w:before="120" w:after="0" w:line="240" w:lineRule="auto"/>
        <w:ind w:firstLine="709"/>
        <w:jc w:val="both"/>
        <w:rPr>
          <w:rFonts w:ascii="Times New Roman" w:hAnsi="Times New Roman" w:cs="Times New Roman"/>
          <w:sz w:val="26"/>
          <w:szCs w:val="26"/>
          <w:lang w:val="vi-VN"/>
        </w:rPr>
      </w:pPr>
      <w:r w:rsidRPr="004A6767">
        <w:rPr>
          <w:rFonts w:ascii="Times New Roman" w:hAnsi="Times New Roman" w:cs="Times New Roman"/>
          <w:sz w:val="26"/>
          <w:szCs w:val="26"/>
          <w:lang w:val="vi-VN"/>
        </w:rPr>
        <w:t xml:space="preserve">Nguyên tắc ưu tiên giáo dục đối với người chưa thành niên phạm tội được </w:t>
      </w:r>
      <w:r w:rsidR="005558E0" w:rsidRPr="004A6767">
        <w:rPr>
          <w:rFonts w:ascii="Times New Roman" w:hAnsi="Times New Roman" w:cs="Times New Roman"/>
          <w:sz w:val="26"/>
          <w:szCs w:val="26"/>
          <w:lang w:val="vi-VN"/>
        </w:rPr>
        <w:t>quy định</w:t>
      </w:r>
      <w:r w:rsidRPr="004A6767">
        <w:rPr>
          <w:rFonts w:ascii="Times New Roman" w:hAnsi="Times New Roman" w:cs="Times New Roman"/>
          <w:sz w:val="26"/>
          <w:szCs w:val="26"/>
          <w:lang w:val="vi-VN"/>
        </w:rPr>
        <w:t xml:space="preserve"> xuyên suốt</w:t>
      </w:r>
      <w:r w:rsidR="00D272E8" w:rsidRPr="004A6767">
        <w:rPr>
          <w:rFonts w:ascii="Times New Roman" w:hAnsi="Times New Roman" w:cs="Times New Roman"/>
          <w:sz w:val="26"/>
          <w:szCs w:val="26"/>
          <w:lang w:val="vi-VN"/>
        </w:rPr>
        <w:t>,</w:t>
      </w:r>
      <w:r w:rsidR="00A73F13" w:rsidRPr="004A6767">
        <w:rPr>
          <w:rFonts w:ascii="Times New Roman" w:hAnsi="Times New Roman" w:cs="Times New Roman"/>
          <w:sz w:val="26"/>
          <w:szCs w:val="26"/>
          <w:lang w:val="vi-VN"/>
        </w:rPr>
        <w:t xml:space="preserve"> và là một trong những nguyên tắc quan trọng,</w:t>
      </w:r>
      <w:r w:rsidR="00D272E8" w:rsidRPr="004A6767">
        <w:rPr>
          <w:rFonts w:ascii="Times New Roman" w:hAnsi="Times New Roman" w:cs="Times New Roman"/>
          <w:sz w:val="26"/>
          <w:szCs w:val="26"/>
          <w:lang w:val="vi-VN"/>
        </w:rPr>
        <w:t xml:space="preserve"> cụ thể</w:t>
      </w:r>
      <w:r w:rsidRPr="004A6767">
        <w:rPr>
          <w:rFonts w:ascii="Times New Roman" w:hAnsi="Times New Roman" w:cs="Times New Roman"/>
          <w:sz w:val="26"/>
          <w:szCs w:val="26"/>
          <w:lang w:val="vi-VN"/>
        </w:rPr>
        <w:t xml:space="preserve"> tại Điều 277</w:t>
      </w:r>
      <w:r w:rsidR="00A73F13" w:rsidRPr="004A6767">
        <w:rPr>
          <w:rFonts w:ascii="Times New Roman" w:hAnsi="Times New Roman" w:cs="Times New Roman"/>
          <w:sz w:val="26"/>
          <w:szCs w:val="26"/>
          <w:lang w:val="vi-VN"/>
        </w:rPr>
        <w:t xml:space="preserve"> Luật TTHS Trung Quốc năm 2018</w:t>
      </w:r>
      <w:r w:rsidRPr="004A6767">
        <w:rPr>
          <w:rFonts w:ascii="Times New Roman" w:hAnsi="Times New Roman" w:cs="Times New Roman"/>
          <w:sz w:val="26"/>
          <w:szCs w:val="26"/>
          <w:lang w:val="vi-VN"/>
        </w:rPr>
        <w:t xml:space="preserve">: </w:t>
      </w:r>
      <w:r w:rsidRPr="004A6767">
        <w:rPr>
          <w:rFonts w:ascii="Times New Roman" w:hAnsi="Times New Roman" w:cs="Times New Roman"/>
          <w:i/>
          <w:iCs/>
          <w:sz w:val="26"/>
          <w:szCs w:val="26"/>
          <w:lang w:val="vi-VN"/>
        </w:rPr>
        <w:t>"Người chưa thành niên phạm tội phải được giáo dục, cải tạo, phục hồi chức năng bằng cách giữ vững nguyên tắc lấy giáo dục làm phương tiện chính và dùng hình phạt làm phương tiện phụ trợ"</w:t>
      </w:r>
      <w:r w:rsidR="000C25F4" w:rsidRPr="004A6767">
        <w:rPr>
          <w:rFonts w:ascii="Times New Roman" w:hAnsi="Times New Roman" w:cs="Times New Roman"/>
          <w:i/>
          <w:iCs/>
          <w:sz w:val="26"/>
          <w:szCs w:val="26"/>
          <w:lang w:val="vi-VN"/>
        </w:rPr>
        <w:t xml:space="preserve">. </w:t>
      </w:r>
      <w:r w:rsidR="000C25F4" w:rsidRPr="00221EFC">
        <w:rPr>
          <w:rFonts w:ascii="Times New Roman" w:hAnsi="Times New Roman" w:cs="Times New Roman"/>
          <w:sz w:val="26"/>
          <w:szCs w:val="26"/>
          <w:lang w:val="vi-VN"/>
        </w:rPr>
        <w:t xml:space="preserve">Điều 546 </w:t>
      </w:r>
      <w:r w:rsidR="005562AB">
        <w:rPr>
          <w:rFonts w:ascii="Times New Roman" w:hAnsi="Times New Roman" w:cs="Times New Roman"/>
          <w:sz w:val="26"/>
          <w:szCs w:val="26"/>
          <w:lang w:val="vi-VN"/>
        </w:rPr>
        <w:t>Giải thích của TANDTC về việc áp dụng Luật TTHS của nước CHND Trung Hoa năm 2020</w:t>
      </w:r>
      <w:r w:rsidR="000C25F4" w:rsidRPr="00221EFC">
        <w:rPr>
          <w:rFonts w:ascii="Times New Roman" w:hAnsi="Times New Roman" w:cs="Times New Roman"/>
          <w:sz w:val="26"/>
          <w:szCs w:val="26"/>
          <w:lang w:val="vi-VN"/>
        </w:rPr>
        <w:t xml:space="preserve"> cũng có </w:t>
      </w:r>
      <w:r w:rsidR="00826668" w:rsidRPr="00221EFC">
        <w:rPr>
          <w:rFonts w:ascii="Times New Roman" w:hAnsi="Times New Roman" w:cs="Times New Roman"/>
          <w:sz w:val="26"/>
          <w:szCs w:val="26"/>
          <w:lang w:val="vi-VN"/>
        </w:rPr>
        <w:t>hướng dẫn</w:t>
      </w:r>
      <w:r w:rsidR="000C25F4" w:rsidRPr="00221EFC">
        <w:rPr>
          <w:rFonts w:ascii="Times New Roman" w:hAnsi="Times New Roman" w:cs="Times New Roman"/>
          <w:sz w:val="26"/>
          <w:szCs w:val="26"/>
          <w:lang w:val="vi-VN"/>
        </w:rPr>
        <w:t xml:space="preserve">: </w:t>
      </w:r>
      <w:r w:rsidR="000C25F4" w:rsidRPr="00221EFC">
        <w:rPr>
          <w:rFonts w:ascii="Times New Roman" w:hAnsi="Times New Roman" w:cs="Times New Roman"/>
          <w:i/>
          <w:iCs/>
          <w:sz w:val="26"/>
          <w:szCs w:val="26"/>
          <w:lang w:val="vi-VN"/>
        </w:rPr>
        <w:t xml:space="preserve">"Khi xét xử các vụ án hình sự về người chưa thành niên, Tòa án nhân dân thực hiện các nguyên tắc giáo dục, cải tạo, </w:t>
      </w:r>
      <w:r w:rsidR="000C25F4" w:rsidRPr="00221EFC">
        <w:rPr>
          <w:rFonts w:ascii="Times New Roman" w:hAnsi="Times New Roman" w:cs="Times New Roman"/>
          <w:i/>
          <w:iCs/>
          <w:sz w:val="26"/>
          <w:szCs w:val="26"/>
          <w:lang w:val="vi-VN"/>
        </w:rPr>
        <w:lastRenderedPageBreak/>
        <w:t>giải cứu, tuân thủ nguyên tắc ưu tiên giáo dục và bổ sung hình phạt, tăng cường bảo vệ đặc biệt cho người chưa thành niên"</w:t>
      </w:r>
      <w:r w:rsidR="000C25F4" w:rsidRPr="00221EFC">
        <w:rPr>
          <w:rFonts w:ascii="Times New Roman" w:hAnsi="Times New Roman" w:cs="Times New Roman"/>
          <w:sz w:val="26"/>
          <w:szCs w:val="26"/>
          <w:lang w:val="vi-VN"/>
        </w:rPr>
        <w:t>.</w:t>
      </w:r>
    </w:p>
    <w:p w14:paraId="2F4AB628" w14:textId="05F3AFF3" w:rsidR="00661D58" w:rsidRPr="00221EFC" w:rsidRDefault="00ED5CBA" w:rsidP="009A6717">
      <w:pPr>
        <w:spacing w:before="120" w:after="0" w:line="240" w:lineRule="auto"/>
        <w:ind w:firstLine="709"/>
        <w:jc w:val="both"/>
        <w:rPr>
          <w:rFonts w:ascii="Times New Roman" w:hAnsi="Times New Roman" w:cs="Times New Roman"/>
          <w:sz w:val="26"/>
          <w:szCs w:val="26"/>
          <w:lang w:val="vi-VN"/>
        </w:rPr>
      </w:pPr>
      <w:r w:rsidRPr="00221EFC">
        <w:rPr>
          <w:rFonts w:ascii="Times New Roman" w:hAnsi="Times New Roman" w:cs="Times New Roman"/>
          <w:sz w:val="26"/>
          <w:szCs w:val="26"/>
          <w:lang w:val="vi-VN"/>
        </w:rPr>
        <w:t>Tại Điều 279</w:t>
      </w:r>
      <w:r w:rsidR="00FD46FC" w:rsidRPr="00221EFC">
        <w:rPr>
          <w:rFonts w:ascii="Times New Roman" w:hAnsi="Times New Roman" w:cs="Times New Roman"/>
          <w:sz w:val="26"/>
          <w:szCs w:val="26"/>
          <w:lang w:val="vi-VN"/>
        </w:rPr>
        <w:t xml:space="preserve"> Luật</w:t>
      </w:r>
      <w:r w:rsidRPr="00221EFC">
        <w:rPr>
          <w:rFonts w:ascii="Times New Roman" w:hAnsi="Times New Roman" w:cs="Times New Roman"/>
          <w:sz w:val="26"/>
          <w:szCs w:val="26"/>
          <w:lang w:val="vi-VN"/>
        </w:rPr>
        <w:t xml:space="preserve"> TTHS Trung Quốc năm 2018</w:t>
      </w:r>
      <w:r w:rsidR="00BD5B3D" w:rsidRPr="00221EFC">
        <w:rPr>
          <w:rFonts w:ascii="Times New Roman" w:hAnsi="Times New Roman" w:cs="Times New Roman"/>
          <w:sz w:val="26"/>
          <w:szCs w:val="26"/>
          <w:lang w:val="vi-VN"/>
        </w:rPr>
        <w:t xml:space="preserve"> cũng có quy định về việc cơ quan tiến hành tố tụng có thể điều tra về quá trình trưởng thành, lý do phạm tội, điều kiện giáo dục, giám hộ của bị can, bị cáo là người chưa thành niên.</w:t>
      </w:r>
      <w:r w:rsidR="00141F7C" w:rsidRPr="00221EFC">
        <w:rPr>
          <w:rFonts w:ascii="Times New Roman" w:hAnsi="Times New Roman" w:cs="Times New Roman"/>
          <w:sz w:val="26"/>
          <w:szCs w:val="26"/>
          <w:lang w:val="vi-VN"/>
        </w:rPr>
        <w:t xml:space="preserve"> Mục đích của công việc này là điều tra các đặc điểm nhân cách, hoàn cảnh gia đình, tương tác xã hội, kinh nghiệm trưởng thành, hoạt động trước và sau khi phạm tội của bị cáo vị thành niên và nghi phạm hình sự, cũng như quan điểm và thái độ của </w:t>
      </w:r>
      <w:r w:rsidR="00672229" w:rsidRPr="00672229">
        <w:rPr>
          <w:rFonts w:ascii="Times New Roman" w:hAnsi="Times New Roman" w:cs="Times New Roman"/>
          <w:sz w:val="26"/>
          <w:szCs w:val="26"/>
          <w:lang w:val="vi-VN"/>
        </w:rPr>
        <w:t>gia đình</w:t>
      </w:r>
      <w:r w:rsidR="00141F7C" w:rsidRPr="00221EFC">
        <w:rPr>
          <w:rFonts w:ascii="Times New Roman" w:hAnsi="Times New Roman" w:cs="Times New Roman"/>
          <w:sz w:val="26"/>
          <w:szCs w:val="26"/>
          <w:lang w:val="vi-VN"/>
        </w:rPr>
        <w:t>,</w:t>
      </w:r>
      <w:r w:rsidR="00672229" w:rsidRPr="00672229">
        <w:rPr>
          <w:rFonts w:ascii="Times New Roman" w:hAnsi="Times New Roman" w:cs="Times New Roman"/>
          <w:sz w:val="26"/>
          <w:szCs w:val="26"/>
          <w:lang w:val="vi-VN"/>
        </w:rPr>
        <w:t xml:space="preserve"> nhà trường</w:t>
      </w:r>
      <w:r w:rsidR="00141F7C" w:rsidRPr="00221EFC">
        <w:rPr>
          <w:rFonts w:ascii="Times New Roman" w:hAnsi="Times New Roman" w:cs="Times New Roman"/>
          <w:sz w:val="26"/>
          <w:szCs w:val="26"/>
          <w:lang w:val="vi-VN"/>
        </w:rPr>
        <w:t xml:space="preserve">, tuân thủ nguyên tắc </w:t>
      </w:r>
      <w:r w:rsidR="00141F7C" w:rsidRPr="00221EFC">
        <w:rPr>
          <w:rFonts w:ascii="Times New Roman" w:hAnsi="Times New Roman" w:cs="Times New Roman"/>
          <w:i/>
          <w:iCs/>
          <w:sz w:val="26"/>
          <w:szCs w:val="26"/>
          <w:lang w:val="vi-VN"/>
        </w:rPr>
        <w:t>“giáo dục trước, phạt sau”</w:t>
      </w:r>
      <w:r w:rsidR="00141F7C" w:rsidRPr="00221EFC">
        <w:rPr>
          <w:rFonts w:ascii="Times New Roman" w:hAnsi="Times New Roman" w:cs="Times New Roman"/>
          <w:sz w:val="26"/>
          <w:szCs w:val="26"/>
          <w:lang w:val="vi-VN"/>
        </w:rPr>
        <w:t xml:space="preserve"> trong vụ án hình sự </w:t>
      </w:r>
      <w:r w:rsidR="008D0304" w:rsidRPr="008D0304">
        <w:rPr>
          <w:rFonts w:ascii="Times New Roman" w:hAnsi="Times New Roman" w:cs="Times New Roman"/>
          <w:sz w:val="26"/>
          <w:szCs w:val="26"/>
          <w:lang w:val="vi-VN"/>
        </w:rPr>
        <w:t xml:space="preserve">có </w:t>
      </w:r>
      <w:r w:rsidR="006806CB" w:rsidRPr="006806CB">
        <w:rPr>
          <w:rFonts w:ascii="Times New Roman" w:hAnsi="Times New Roman" w:cs="Times New Roman"/>
          <w:sz w:val="26"/>
          <w:szCs w:val="26"/>
          <w:lang w:val="vi-VN"/>
        </w:rPr>
        <w:t xml:space="preserve">bị can, bị cáo là người </w:t>
      </w:r>
      <w:r w:rsidR="00141F7C" w:rsidRPr="00221EFC">
        <w:rPr>
          <w:rFonts w:ascii="Times New Roman" w:hAnsi="Times New Roman" w:cs="Times New Roman"/>
          <w:sz w:val="26"/>
          <w:szCs w:val="26"/>
          <w:lang w:val="vi-VN"/>
        </w:rPr>
        <w:t xml:space="preserve">chưa thành niên, thực sự bảo vệ quyền và lợi ích hợp pháp của </w:t>
      </w:r>
      <w:r w:rsidR="009B1DF8" w:rsidRPr="009B1DF8">
        <w:rPr>
          <w:rFonts w:ascii="Times New Roman" w:hAnsi="Times New Roman" w:cs="Times New Roman"/>
          <w:sz w:val="26"/>
          <w:szCs w:val="26"/>
          <w:lang w:val="vi-VN"/>
        </w:rPr>
        <w:t>h</w:t>
      </w:r>
      <w:r w:rsidR="009B1DF8" w:rsidRPr="00197E42">
        <w:rPr>
          <w:rFonts w:ascii="Times New Roman" w:hAnsi="Times New Roman" w:cs="Times New Roman"/>
          <w:sz w:val="26"/>
          <w:szCs w:val="26"/>
          <w:lang w:val="vi-VN"/>
        </w:rPr>
        <w:t>ọ</w:t>
      </w:r>
      <w:r w:rsidR="00141F7C" w:rsidRPr="00221EFC">
        <w:rPr>
          <w:rFonts w:ascii="Times New Roman" w:hAnsi="Times New Roman" w:cs="Times New Roman"/>
          <w:sz w:val="26"/>
          <w:szCs w:val="26"/>
          <w:lang w:val="vi-VN"/>
        </w:rPr>
        <w:t>.</w:t>
      </w:r>
    </w:p>
    <w:p w14:paraId="1FE57472" w14:textId="70C29F5C" w:rsidR="00705704" w:rsidRPr="00887EA1" w:rsidRDefault="00705704" w:rsidP="009A6717">
      <w:pPr>
        <w:spacing w:before="120" w:after="0" w:line="240" w:lineRule="auto"/>
        <w:ind w:firstLine="709"/>
        <w:jc w:val="both"/>
        <w:rPr>
          <w:rFonts w:ascii="Times New Roman" w:hAnsi="Times New Roman" w:cs="Times New Roman"/>
          <w:sz w:val="26"/>
          <w:szCs w:val="26"/>
          <w:lang w:val="vi-VN"/>
        </w:rPr>
      </w:pPr>
      <w:r w:rsidRPr="00887EA1">
        <w:rPr>
          <w:rFonts w:ascii="Times New Roman" w:hAnsi="Times New Roman" w:cs="Times New Roman"/>
          <w:sz w:val="26"/>
          <w:szCs w:val="26"/>
          <w:lang w:val="vi-VN"/>
        </w:rPr>
        <w:t xml:space="preserve">Theo </w:t>
      </w:r>
      <w:r w:rsidR="005309FD" w:rsidRPr="00887EA1">
        <w:rPr>
          <w:rFonts w:ascii="Times New Roman" w:hAnsi="Times New Roman" w:cs="Times New Roman"/>
          <w:sz w:val="26"/>
          <w:szCs w:val="26"/>
          <w:lang w:val="vi-VN"/>
        </w:rPr>
        <w:t>hướng dẫn</w:t>
      </w:r>
      <w:r w:rsidRPr="00887EA1">
        <w:rPr>
          <w:rFonts w:ascii="Times New Roman" w:hAnsi="Times New Roman" w:cs="Times New Roman"/>
          <w:sz w:val="26"/>
          <w:szCs w:val="26"/>
          <w:lang w:val="vi-VN"/>
        </w:rPr>
        <w:t xml:space="preserve"> tại Điều 553 </w:t>
      </w:r>
      <w:r w:rsidR="005562AB">
        <w:rPr>
          <w:rFonts w:ascii="Times New Roman" w:hAnsi="Times New Roman" w:cs="Times New Roman"/>
          <w:sz w:val="26"/>
          <w:szCs w:val="26"/>
          <w:lang w:val="vi-VN"/>
        </w:rPr>
        <w:t>Giải thích của TANDTC về việc áp dụng Luật TTHS của nước CHND Trung Hoa năm 2020</w:t>
      </w:r>
      <w:r w:rsidRPr="00887EA1">
        <w:rPr>
          <w:rFonts w:ascii="Times New Roman" w:hAnsi="Times New Roman" w:cs="Times New Roman"/>
          <w:sz w:val="26"/>
          <w:szCs w:val="26"/>
          <w:lang w:val="vi-VN"/>
        </w:rPr>
        <w:t xml:space="preserve"> </w:t>
      </w:r>
      <w:r w:rsidR="000511D7" w:rsidRPr="00887EA1">
        <w:rPr>
          <w:rFonts w:ascii="Times New Roman" w:hAnsi="Times New Roman" w:cs="Times New Roman"/>
          <w:sz w:val="26"/>
          <w:szCs w:val="26"/>
          <w:lang w:val="vi-VN"/>
        </w:rPr>
        <w:t>thì đ</w:t>
      </w:r>
      <w:r w:rsidRPr="00887EA1">
        <w:rPr>
          <w:rFonts w:ascii="Times New Roman" w:hAnsi="Times New Roman" w:cs="Times New Roman"/>
          <w:sz w:val="26"/>
          <w:szCs w:val="26"/>
          <w:lang w:val="vi-VN"/>
        </w:rPr>
        <w:t>ối với bị cáo là người chưa thành niên bị bắt và chưa hoàn thành chương trình giáo dục phổ thông thì Tòa án nhân dân phối hợp với cơ quan quản lý giáo dục để bảo đảm cho bị cáo này được hưởng chương trình giáo dục bắt buộc.</w:t>
      </w:r>
      <w:r w:rsidR="00AA590A" w:rsidRPr="00887EA1">
        <w:rPr>
          <w:rFonts w:ascii="Times New Roman" w:hAnsi="Times New Roman" w:cs="Times New Roman"/>
          <w:sz w:val="26"/>
          <w:szCs w:val="26"/>
          <w:lang w:val="vi-VN"/>
        </w:rPr>
        <w:t xml:space="preserve"> </w:t>
      </w:r>
      <w:r w:rsidR="00464E9F" w:rsidRPr="00887EA1">
        <w:rPr>
          <w:rFonts w:ascii="Times New Roman" w:hAnsi="Times New Roman" w:cs="Times New Roman"/>
          <w:sz w:val="26"/>
          <w:szCs w:val="26"/>
          <w:lang w:val="vi-VN"/>
        </w:rPr>
        <w:t xml:space="preserve">Điều 53 Luật Phòng chống người chưa thành niên phạm pháp năm 2020 của Trung Quốc cũng có quy định: </w:t>
      </w:r>
      <w:r w:rsidR="00464E9F" w:rsidRPr="00887EA1">
        <w:rPr>
          <w:rFonts w:ascii="Times New Roman" w:hAnsi="Times New Roman" w:cs="Times New Roman"/>
          <w:i/>
          <w:iCs/>
          <w:sz w:val="26"/>
          <w:szCs w:val="26"/>
          <w:lang w:val="vi-VN"/>
        </w:rPr>
        <w:t>"Người chưa thành niên bị tạm giam, bị bắt hoặc đang thi hành án tại trại cải huấn vị thành niên thì bị tạm giam, giam giữ riêng. Đối với trẻ vị thành niên có các trường hợp nêu trên và chưa hoàn thành chương trình giáo dục bắt buộc, các cơ quan công an, Viện kiểm sát nhân dân, Tòa án nhân dân cần phối hợp với họ để bảo đảm tiếp tục học tập"</w:t>
      </w:r>
      <w:r w:rsidR="00464E9F" w:rsidRPr="00887EA1">
        <w:rPr>
          <w:rFonts w:ascii="Times New Roman" w:hAnsi="Times New Roman" w:cs="Times New Roman"/>
          <w:sz w:val="26"/>
          <w:szCs w:val="26"/>
          <w:lang w:val="vi-VN"/>
        </w:rPr>
        <w:t xml:space="preserve">. </w:t>
      </w:r>
      <w:r w:rsidR="00AA590A" w:rsidRPr="00887EA1">
        <w:rPr>
          <w:rFonts w:ascii="Times New Roman" w:hAnsi="Times New Roman" w:cs="Times New Roman"/>
          <w:sz w:val="26"/>
          <w:szCs w:val="26"/>
          <w:lang w:val="vi-VN"/>
        </w:rPr>
        <w:t xml:space="preserve">Đây là một trong những quy định </w:t>
      </w:r>
      <w:r w:rsidR="006424E9" w:rsidRPr="00887EA1">
        <w:rPr>
          <w:rFonts w:ascii="Times New Roman" w:hAnsi="Times New Roman" w:cs="Times New Roman"/>
          <w:sz w:val="26"/>
          <w:szCs w:val="26"/>
          <w:lang w:val="vi-VN"/>
        </w:rPr>
        <w:t xml:space="preserve">rất hay và tiến bộ, </w:t>
      </w:r>
      <w:r w:rsidR="00A56419" w:rsidRPr="00887EA1">
        <w:rPr>
          <w:rFonts w:ascii="Times New Roman" w:hAnsi="Times New Roman" w:cs="Times New Roman"/>
          <w:sz w:val="26"/>
          <w:szCs w:val="26"/>
          <w:lang w:val="vi-VN"/>
        </w:rPr>
        <w:t xml:space="preserve">đặt </w:t>
      </w:r>
      <w:r w:rsidR="000D07D3" w:rsidRPr="00887EA1">
        <w:rPr>
          <w:rFonts w:ascii="Times New Roman" w:hAnsi="Times New Roman" w:cs="Times New Roman"/>
          <w:sz w:val="26"/>
          <w:szCs w:val="26"/>
          <w:lang w:val="vi-VN"/>
        </w:rPr>
        <w:t>giáo dục</w:t>
      </w:r>
      <w:r w:rsidR="00A56419" w:rsidRPr="00887EA1">
        <w:rPr>
          <w:rFonts w:ascii="Times New Roman" w:hAnsi="Times New Roman" w:cs="Times New Roman"/>
          <w:sz w:val="26"/>
          <w:szCs w:val="26"/>
          <w:lang w:val="vi-VN"/>
        </w:rPr>
        <w:t xml:space="preserve"> lên trên </w:t>
      </w:r>
      <w:r w:rsidR="000D07D3" w:rsidRPr="00887EA1">
        <w:rPr>
          <w:rFonts w:ascii="Times New Roman" w:hAnsi="Times New Roman" w:cs="Times New Roman"/>
          <w:sz w:val="26"/>
          <w:szCs w:val="26"/>
          <w:lang w:val="vi-VN"/>
        </w:rPr>
        <w:t>hết</w:t>
      </w:r>
      <w:r w:rsidR="00A56419" w:rsidRPr="00887EA1">
        <w:rPr>
          <w:rFonts w:ascii="Times New Roman" w:hAnsi="Times New Roman" w:cs="Times New Roman"/>
          <w:sz w:val="26"/>
          <w:szCs w:val="26"/>
          <w:lang w:val="vi-VN"/>
        </w:rPr>
        <w:t>, kể cả</w:t>
      </w:r>
      <w:r w:rsidR="006424E9" w:rsidRPr="00887EA1">
        <w:rPr>
          <w:rFonts w:ascii="Times New Roman" w:hAnsi="Times New Roman" w:cs="Times New Roman"/>
          <w:sz w:val="26"/>
          <w:szCs w:val="26"/>
          <w:lang w:val="vi-VN"/>
        </w:rPr>
        <w:t xml:space="preserve"> </w:t>
      </w:r>
      <w:r w:rsidR="000D07D3" w:rsidRPr="00887EA1">
        <w:rPr>
          <w:rFonts w:ascii="Times New Roman" w:hAnsi="Times New Roman" w:cs="Times New Roman"/>
          <w:sz w:val="26"/>
          <w:szCs w:val="26"/>
          <w:lang w:val="vi-VN"/>
        </w:rPr>
        <w:t>trong trường hợp truy cứu trách nhiệm hình sự thì việc học</w:t>
      </w:r>
      <w:r w:rsidR="0018430E" w:rsidRPr="00887EA1">
        <w:rPr>
          <w:rFonts w:ascii="Times New Roman" w:hAnsi="Times New Roman" w:cs="Times New Roman"/>
          <w:sz w:val="26"/>
          <w:szCs w:val="26"/>
          <w:lang w:val="vi-VN"/>
        </w:rPr>
        <w:t xml:space="preserve"> của người chưa thành niên</w:t>
      </w:r>
      <w:r w:rsidR="00712FCC" w:rsidRPr="00887EA1">
        <w:rPr>
          <w:rFonts w:ascii="Times New Roman" w:hAnsi="Times New Roman" w:cs="Times New Roman"/>
          <w:sz w:val="26"/>
          <w:szCs w:val="26"/>
          <w:lang w:val="vi-VN"/>
        </w:rPr>
        <w:t xml:space="preserve"> vẫn được ưu tiên.</w:t>
      </w:r>
    </w:p>
    <w:p w14:paraId="0208E53B" w14:textId="45387B45" w:rsidR="003F2B50" w:rsidRPr="00887EA1" w:rsidRDefault="00FB453E" w:rsidP="009A6717">
      <w:pPr>
        <w:spacing w:before="120" w:after="0" w:line="240" w:lineRule="auto"/>
        <w:ind w:firstLine="709"/>
        <w:jc w:val="both"/>
        <w:rPr>
          <w:rFonts w:ascii="Times New Roman" w:hAnsi="Times New Roman" w:cs="Times New Roman"/>
          <w:sz w:val="26"/>
          <w:szCs w:val="26"/>
          <w:lang w:val="vi-VN"/>
        </w:rPr>
      </w:pPr>
      <w:r w:rsidRPr="00887EA1">
        <w:rPr>
          <w:rFonts w:ascii="Times New Roman" w:hAnsi="Times New Roman" w:cs="Times New Roman"/>
          <w:sz w:val="26"/>
          <w:szCs w:val="26"/>
          <w:lang w:val="vi-VN"/>
        </w:rPr>
        <w:t>Theo hướng dẫn tại Điều 560</w:t>
      </w:r>
      <w:r w:rsidR="003F2B50" w:rsidRPr="00887EA1">
        <w:rPr>
          <w:rFonts w:ascii="Times New Roman" w:hAnsi="Times New Roman" w:cs="Times New Roman"/>
          <w:sz w:val="26"/>
          <w:szCs w:val="26"/>
          <w:lang w:val="vi-VN"/>
        </w:rPr>
        <w:t xml:space="preserve"> </w:t>
      </w:r>
      <w:r w:rsidR="005562AB">
        <w:rPr>
          <w:rFonts w:ascii="Times New Roman" w:hAnsi="Times New Roman" w:cs="Times New Roman"/>
          <w:sz w:val="26"/>
          <w:szCs w:val="26"/>
          <w:lang w:val="vi-VN"/>
        </w:rPr>
        <w:t>Giải thích của TANDTC về việc áp dụng Luật TTHS của nước CHND Trung Hoa năm 2020</w:t>
      </w:r>
      <w:r w:rsidR="000B6DAB" w:rsidRPr="00887EA1">
        <w:rPr>
          <w:rFonts w:ascii="Times New Roman" w:hAnsi="Times New Roman" w:cs="Times New Roman"/>
          <w:sz w:val="26"/>
          <w:szCs w:val="26"/>
          <w:lang w:val="vi-VN"/>
        </w:rPr>
        <w:t xml:space="preserve"> thì trường hợp</w:t>
      </w:r>
      <w:r w:rsidRPr="00887EA1">
        <w:rPr>
          <w:rFonts w:ascii="Times New Roman" w:hAnsi="Times New Roman" w:cs="Times New Roman"/>
          <w:sz w:val="26"/>
          <w:szCs w:val="26"/>
          <w:lang w:val="vi-VN"/>
        </w:rPr>
        <w:t xml:space="preserve"> Tòa án nhân dân xét thấy đơn vị liên quan không làm tròn trách nhiệm bảo vệ của mình như giáo dục, quản lý, giải cứu, chăm sóc người chưa thành niên thì có kiến ​​nghị tư pháp đối với đơn vị đó.</w:t>
      </w:r>
    </w:p>
    <w:p w14:paraId="2F782791" w14:textId="36874613" w:rsidR="00FB453E" w:rsidRPr="00887EA1" w:rsidRDefault="007A042C" w:rsidP="009A6717">
      <w:pPr>
        <w:spacing w:before="120" w:after="0" w:line="240" w:lineRule="auto"/>
        <w:ind w:firstLine="709"/>
        <w:jc w:val="both"/>
        <w:rPr>
          <w:rFonts w:ascii="Times New Roman" w:hAnsi="Times New Roman" w:cs="Times New Roman"/>
          <w:sz w:val="26"/>
          <w:szCs w:val="26"/>
          <w:lang w:val="vi-VN"/>
        </w:rPr>
      </w:pPr>
      <w:r w:rsidRPr="00887EA1">
        <w:rPr>
          <w:rFonts w:ascii="Times New Roman" w:hAnsi="Times New Roman" w:cs="Times New Roman"/>
          <w:sz w:val="26"/>
          <w:szCs w:val="26"/>
          <w:lang w:val="vi-VN"/>
        </w:rPr>
        <w:t xml:space="preserve">Theo quy định tại </w:t>
      </w:r>
      <w:r w:rsidR="003F2B50" w:rsidRPr="00887EA1">
        <w:rPr>
          <w:rFonts w:ascii="Times New Roman" w:hAnsi="Times New Roman" w:cs="Times New Roman"/>
          <w:sz w:val="26"/>
          <w:szCs w:val="26"/>
          <w:lang w:val="vi-VN"/>
        </w:rPr>
        <w:t>Điều 561</w:t>
      </w:r>
      <w:r w:rsidR="008318EC" w:rsidRPr="00887EA1">
        <w:rPr>
          <w:rFonts w:ascii="Times New Roman" w:hAnsi="Times New Roman" w:cs="Times New Roman"/>
          <w:sz w:val="26"/>
          <w:szCs w:val="26"/>
          <w:lang w:val="vi-VN"/>
        </w:rPr>
        <w:t xml:space="preserve">, Điều 576 </w:t>
      </w:r>
      <w:r w:rsidRPr="00887EA1">
        <w:rPr>
          <w:rFonts w:ascii="Times New Roman" w:hAnsi="Times New Roman" w:cs="Times New Roman"/>
          <w:sz w:val="26"/>
          <w:szCs w:val="26"/>
          <w:lang w:val="vi-VN"/>
        </w:rPr>
        <w:t xml:space="preserve"> </w:t>
      </w:r>
      <w:r w:rsidR="005562AB">
        <w:rPr>
          <w:rFonts w:ascii="Times New Roman" w:hAnsi="Times New Roman" w:cs="Times New Roman"/>
          <w:sz w:val="26"/>
          <w:szCs w:val="26"/>
          <w:lang w:val="vi-VN"/>
        </w:rPr>
        <w:t>Giải thích của TANDTC về việc áp dụng Luật TTHS của nước CHND Trung Hoa năm 2020</w:t>
      </w:r>
      <w:r w:rsidR="003F2B50" w:rsidRPr="00887EA1">
        <w:rPr>
          <w:rFonts w:ascii="Times New Roman" w:hAnsi="Times New Roman" w:cs="Times New Roman"/>
          <w:sz w:val="26"/>
          <w:szCs w:val="26"/>
          <w:lang w:val="vi-VN"/>
        </w:rPr>
        <w:t xml:space="preserve"> </w:t>
      </w:r>
      <w:r w:rsidR="00FB453E" w:rsidRPr="00887EA1">
        <w:rPr>
          <w:rFonts w:ascii="Times New Roman" w:hAnsi="Times New Roman" w:cs="Times New Roman"/>
          <w:sz w:val="26"/>
          <w:szCs w:val="26"/>
          <w:lang w:val="vi-VN"/>
        </w:rPr>
        <w:t xml:space="preserve">Tòa án nhân dân </w:t>
      </w:r>
      <w:r w:rsidR="000B6DAB" w:rsidRPr="00887EA1">
        <w:rPr>
          <w:rFonts w:ascii="Times New Roman" w:hAnsi="Times New Roman" w:cs="Times New Roman"/>
          <w:sz w:val="26"/>
          <w:szCs w:val="26"/>
          <w:lang w:val="vi-VN"/>
        </w:rPr>
        <w:t xml:space="preserve">cũng có thể </w:t>
      </w:r>
      <w:r w:rsidR="00FB453E" w:rsidRPr="00887EA1">
        <w:rPr>
          <w:rFonts w:ascii="Times New Roman" w:hAnsi="Times New Roman" w:cs="Times New Roman"/>
          <w:sz w:val="26"/>
          <w:szCs w:val="26"/>
          <w:lang w:val="vi-VN"/>
        </w:rPr>
        <w:t>thực hiện công khai, giáo dục pháp luật cho người chưa thành niên căn cứ vào điều kiện thực tế và tính chất của vụ án hình sự có người chưa thành niên.</w:t>
      </w:r>
      <w:r w:rsidR="00947F8D" w:rsidRPr="00887EA1">
        <w:rPr>
          <w:rFonts w:ascii="Times New Roman" w:hAnsi="Times New Roman" w:cs="Times New Roman"/>
          <w:sz w:val="26"/>
          <w:szCs w:val="26"/>
          <w:lang w:val="vi-VN"/>
        </w:rPr>
        <w:t xml:space="preserve"> S</w:t>
      </w:r>
      <w:r w:rsidR="007B7CE9" w:rsidRPr="00887EA1">
        <w:rPr>
          <w:rFonts w:ascii="Times New Roman" w:hAnsi="Times New Roman" w:cs="Times New Roman"/>
          <w:sz w:val="26"/>
          <w:szCs w:val="26"/>
          <w:lang w:val="vi-VN"/>
        </w:rPr>
        <w:t>au khi phiên tòa kết thúc, Tòa án có thể giáo dục pháp luật cho bị cáo chưa thành niên căn cứ vào đặc điểm thể chất, tâm lý của người chưa thành niên và các tình tiết của vụ án</w:t>
      </w:r>
      <w:r w:rsidR="001D480F" w:rsidRPr="00887EA1">
        <w:rPr>
          <w:rFonts w:ascii="Times New Roman" w:hAnsi="Times New Roman" w:cs="Times New Roman"/>
          <w:sz w:val="26"/>
          <w:szCs w:val="26"/>
          <w:lang w:val="vi-VN"/>
        </w:rPr>
        <w:t>.</w:t>
      </w:r>
    </w:p>
    <w:p w14:paraId="6876B64B" w14:textId="292D98BD" w:rsidR="00DB7040" w:rsidRDefault="00471917" w:rsidP="00F62E2B">
      <w:pPr>
        <w:spacing w:before="120" w:after="0" w:line="240" w:lineRule="auto"/>
        <w:ind w:firstLine="709"/>
        <w:jc w:val="both"/>
        <w:rPr>
          <w:rFonts w:ascii="Times New Roman" w:hAnsi="Times New Roman" w:cs="Times New Roman"/>
          <w:sz w:val="26"/>
          <w:szCs w:val="26"/>
          <w:lang w:val="vi-VN"/>
        </w:rPr>
      </w:pPr>
      <w:r w:rsidRPr="00887EA1">
        <w:rPr>
          <w:rFonts w:ascii="Times New Roman" w:hAnsi="Times New Roman" w:cs="Times New Roman"/>
          <w:sz w:val="26"/>
          <w:szCs w:val="26"/>
          <w:lang w:val="vi-VN"/>
        </w:rPr>
        <w:t xml:space="preserve">Theo quy định tại </w:t>
      </w:r>
      <w:r w:rsidRPr="00471917">
        <w:rPr>
          <w:rFonts w:ascii="Times New Roman" w:hAnsi="Times New Roman" w:cs="Times New Roman"/>
          <w:sz w:val="26"/>
          <w:szCs w:val="26"/>
          <w:lang w:val="vi-VN"/>
        </w:rPr>
        <w:t xml:space="preserve">Điều 584 </w:t>
      </w:r>
      <w:r w:rsidR="005562AB">
        <w:rPr>
          <w:rFonts w:ascii="Times New Roman" w:hAnsi="Times New Roman" w:cs="Times New Roman"/>
          <w:sz w:val="26"/>
          <w:szCs w:val="26"/>
          <w:lang w:val="vi-VN"/>
        </w:rPr>
        <w:t>Giải thích của TANDTC về việc áp dụng Luật TTHS của nước CHND Trung Hoa năm 2020</w:t>
      </w:r>
      <w:r w:rsidR="00D235FF" w:rsidRPr="00887EA1">
        <w:rPr>
          <w:rFonts w:ascii="Times New Roman" w:hAnsi="Times New Roman" w:cs="Times New Roman"/>
          <w:sz w:val="26"/>
          <w:szCs w:val="26"/>
          <w:lang w:val="vi-VN"/>
        </w:rPr>
        <w:t xml:space="preserve"> thì đ</w:t>
      </w:r>
      <w:r w:rsidR="00181157" w:rsidRPr="00181157">
        <w:rPr>
          <w:rFonts w:ascii="Times New Roman" w:hAnsi="Times New Roman" w:cs="Times New Roman"/>
          <w:sz w:val="26"/>
          <w:szCs w:val="26"/>
          <w:lang w:val="vi-VN"/>
        </w:rPr>
        <w:t>ối với người chưa thành niên phạm tội đã bị kết án quản chế công khai, bị tuyên án quản chế, bị kết án có điều kiện hoặc đã được quyết định tạm thời chấp hành hình phạt ngoài trại giam, Tòa án nhân dân có thể hỗ trợ các cơ sở cải huấn cộng đồng trong việc xây dựng các biện pháp hỗ trợ, giáo dục.</w:t>
      </w:r>
    </w:p>
    <w:p w14:paraId="1D2DE77F" w14:textId="0B885CD7" w:rsidR="0050683D" w:rsidRPr="003627E2" w:rsidRDefault="00257C29" w:rsidP="00F62E2B">
      <w:pPr>
        <w:spacing w:before="120" w:after="0" w:line="240" w:lineRule="auto"/>
        <w:ind w:firstLine="709"/>
        <w:jc w:val="both"/>
        <w:rPr>
          <w:rFonts w:ascii="Times New Roman" w:hAnsi="Times New Roman" w:cs="Times New Roman"/>
          <w:sz w:val="26"/>
          <w:szCs w:val="26"/>
          <w:lang w:val="vi-VN"/>
        </w:rPr>
      </w:pPr>
      <w:r w:rsidRPr="00257C29">
        <w:rPr>
          <w:rFonts w:ascii="Times New Roman" w:hAnsi="Times New Roman" w:cs="Times New Roman"/>
          <w:sz w:val="26"/>
          <w:szCs w:val="26"/>
          <w:lang w:val="vi-VN"/>
        </w:rPr>
        <w:t>Có thể thấy rằng</w:t>
      </w:r>
      <w:r w:rsidRPr="003627E2">
        <w:rPr>
          <w:rFonts w:ascii="Times New Roman" w:hAnsi="Times New Roman" w:cs="Times New Roman"/>
          <w:sz w:val="26"/>
          <w:szCs w:val="26"/>
          <w:lang w:val="vi-VN"/>
        </w:rPr>
        <w:t>,</w:t>
      </w:r>
      <w:r w:rsidR="0050683D" w:rsidRPr="0050683D">
        <w:rPr>
          <w:rFonts w:ascii="Times New Roman" w:hAnsi="Times New Roman" w:cs="Times New Roman"/>
          <w:sz w:val="26"/>
          <w:szCs w:val="26"/>
          <w:lang w:val="vi-VN"/>
        </w:rPr>
        <w:t xml:space="preserve"> </w:t>
      </w:r>
      <w:r w:rsidR="004C4FBD" w:rsidRPr="004C4FBD">
        <w:rPr>
          <w:rFonts w:ascii="Times New Roman" w:hAnsi="Times New Roman" w:cs="Times New Roman"/>
          <w:sz w:val="26"/>
          <w:szCs w:val="26"/>
          <w:lang w:val="vi-VN"/>
        </w:rPr>
        <w:t>tron</w:t>
      </w:r>
      <w:r w:rsidR="004C4FBD" w:rsidRPr="00257C29">
        <w:rPr>
          <w:rFonts w:ascii="Times New Roman" w:hAnsi="Times New Roman" w:cs="Times New Roman"/>
          <w:sz w:val="26"/>
          <w:szCs w:val="26"/>
          <w:lang w:val="vi-VN"/>
        </w:rPr>
        <w:t>g</w:t>
      </w:r>
      <w:r w:rsidR="0050683D" w:rsidRPr="0050683D">
        <w:rPr>
          <w:rFonts w:ascii="Times New Roman" w:hAnsi="Times New Roman" w:cs="Times New Roman"/>
          <w:sz w:val="26"/>
          <w:szCs w:val="26"/>
          <w:lang w:val="vi-VN"/>
        </w:rPr>
        <w:t xml:space="preserve"> </w:t>
      </w:r>
      <w:r w:rsidR="004C4FBD" w:rsidRPr="004C4FBD">
        <w:rPr>
          <w:rFonts w:ascii="Times New Roman" w:hAnsi="Times New Roman" w:cs="Times New Roman"/>
          <w:sz w:val="26"/>
          <w:szCs w:val="26"/>
          <w:lang w:val="vi-VN"/>
        </w:rPr>
        <w:t>quá trình TTHS, nguyên tắc ưu tiên giáo dục được thực hiện</w:t>
      </w:r>
      <w:r w:rsidRPr="00257C29">
        <w:rPr>
          <w:rFonts w:ascii="Times New Roman" w:hAnsi="Times New Roman" w:cs="Times New Roman"/>
          <w:sz w:val="26"/>
          <w:szCs w:val="26"/>
          <w:lang w:val="vi-VN"/>
        </w:rPr>
        <w:t xml:space="preserve"> xuyên suốt, </w:t>
      </w:r>
      <w:r w:rsidR="003627E2" w:rsidRPr="003627E2">
        <w:rPr>
          <w:rFonts w:ascii="Times New Roman" w:hAnsi="Times New Roman" w:cs="Times New Roman"/>
          <w:sz w:val="26"/>
          <w:szCs w:val="26"/>
          <w:lang w:val="vi-VN"/>
        </w:rPr>
        <w:t>lồng ghép giáo dục trong suốt quá trình xét xử người chưa thành niên và kết hợp xét xử với giáo dục là phương pháp hiệu quả, góp phần nâng cao hiệu quả giáo dục pháp luật và nâng cao hiểu biết pháp luật cho người chưa thành niên.</w:t>
      </w:r>
    </w:p>
    <w:p w14:paraId="58EA486A" w14:textId="7BED9A5A" w:rsidR="007062D4" w:rsidRPr="00CD0104" w:rsidRDefault="00CD0104" w:rsidP="007062D4">
      <w:pPr>
        <w:spacing w:before="120" w:after="0" w:line="240" w:lineRule="auto"/>
        <w:ind w:firstLine="709"/>
        <w:jc w:val="both"/>
        <w:rPr>
          <w:rFonts w:ascii="Times New Roman" w:hAnsi="Times New Roman" w:cs="Times New Roman"/>
          <w:b/>
          <w:bCs/>
          <w:i/>
          <w:iCs/>
          <w:sz w:val="26"/>
          <w:szCs w:val="26"/>
          <w:lang w:val="vi-VN"/>
        </w:rPr>
      </w:pPr>
      <w:r w:rsidRPr="00CD0104">
        <w:rPr>
          <w:rFonts w:ascii="Times New Roman" w:hAnsi="Times New Roman" w:cs="Times New Roman"/>
          <w:b/>
          <w:bCs/>
          <w:i/>
          <w:iCs/>
          <w:sz w:val="26"/>
          <w:szCs w:val="26"/>
          <w:lang w:val="vi-VN"/>
        </w:rPr>
        <w:t>2.</w:t>
      </w:r>
      <w:r w:rsidR="007062D4" w:rsidRPr="00CD0104">
        <w:rPr>
          <w:rFonts w:ascii="Times New Roman" w:hAnsi="Times New Roman" w:cs="Times New Roman"/>
          <w:b/>
          <w:bCs/>
          <w:i/>
          <w:iCs/>
          <w:sz w:val="26"/>
          <w:szCs w:val="26"/>
          <w:lang w:val="vi-VN"/>
        </w:rPr>
        <w:t xml:space="preserve">3. Bảo mật </w:t>
      </w:r>
      <w:r w:rsidR="00307D1F" w:rsidRPr="00CD0104">
        <w:rPr>
          <w:rFonts w:ascii="Times New Roman" w:hAnsi="Times New Roman" w:cs="Times New Roman"/>
          <w:b/>
          <w:bCs/>
          <w:i/>
          <w:iCs/>
          <w:sz w:val="26"/>
          <w:szCs w:val="26"/>
          <w:lang w:val="vi-VN"/>
        </w:rPr>
        <w:t>hồ sơ</w:t>
      </w:r>
      <w:r w:rsidR="007062D4" w:rsidRPr="00CD0104">
        <w:rPr>
          <w:rFonts w:ascii="Times New Roman" w:hAnsi="Times New Roman" w:cs="Times New Roman"/>
          <w:b/>
          <w:bCs/>
          <w:i/>
          <w:iCs/>
          <w:sz w:val="26"/>
          <w:szCs w:val="26"/>
          <w:lang w:val="vi-VN"/>
        </w:rPr>
        <w:t xml:space="preserve"> của người chưa thành niên</w:t>
      </w:r>
      <w:r w:rsidR="00307D1F" w:rsidRPr="00CD0104">
        <w:rPr>
          <w:rFonts w:ascii="Times New Roman" w:hAnsi="Times New Roman" w:cs="Times New Roman"/>
          <w:b/>
          <w:bCs/>
          <w:i/>
          <w:iCs/>
          <w:sz w:val="26"/>
          <w:szCs w:val="26"/>
          <w:lang w:val="vi-VN"/>
        </w:rPr>
        <w:t xml:space="preserve"> trong TTHS</w:t>
      </w:r>
    </w:p>
    <w:p w14:paraId="2EE8FECC" w14:textId="1EFF0E9C" w:rsidR="007062D4" w:rsidRPr="000E04FC" w:rsidRDefault="007062D4" w:rsidP="007062D4">
      <w:pPr>
        <w:spacing w:before="120" w:after="0" w:line="240" w:lineRule="auto"/>
        <w:ind w:firstLine="709"/>
        <w:jc w:val="both"/>
        <w:rPr>
          <w:rFonts w:ascii="Times New Roman" w:hAnsi="Times New Roman" w:cs="Times New Roman"/>
          <w:sz w:val="26"/>
          <w:szCs w:val="26"/>
          <w:lang w:val="vi-VN"/>
        </w:rPr>
      </w:pPr>
      <w:r w:rsidRPr="00FE3667">
        <w:rPr>
          <w:rFonts w:ascii="Times New Roman" w:hAnsi="Times New Roman" w:cs="Times New Roman"/>
          <w:sz w:val="26"/>
          <w:szCs w:val="26"/>
          <w:lang w:val="vi-VN"/>
        </w:rPr>
        <w:lastRenderedPageBreak/>
        <w:t xml:space="preserve">Điều 285 Luật TTHS Trung Quốc </w:t>
      </w:r>
      <w:r w:rsidR="00BE705D" w:rsidRPr="00BE705D">
        <w:rPr>
          <w:rFonts w:ascii="Times New Roman" w:hAnsi="Times New Roman" w:cs="Times New Roman"/>
          <w:sz w:val="26"/>
          <w:szCs w:val="26"/>
          <w:lang w:val="vi-VN"/>
        </w:rPr>
        <w:t xml:space="preserve">năm </w:t>
      </w:r>
      <w:r w:rsidRPr="00FE3667">
        <w:rPr>
          <w:rFonts w:ascii="Times New Roman" w:hAnsi="Times New Roman" w:cs="Times New Roman"/>
          <w:sz w:val="26"/>
          <w:szCs w:val="26"/>
          <w:lang w:val="vi-VN"/>
        </w:rPr>
        <w:t>20</w:t>
      </w:r>
      <w:r w:rsidR="004B4D84" w:rsidRPr="004B4D84">
        <w:rPr>
          <w:rFonts w:ascii="Times New Roman" w:hAnsi="Times New Roman" w:cs="Times New Roman"/>
          <w:sz w:val="26"/>
          <w:szCs w:val="26"/>
          <w:lang w:val="vi-VN"/>
        </w:rPr>
        <w:t>18</w:t>
      </w:r>
      <w:r w:rsidRPr="00FE3667">
        <w:rPr>
          <w:rFonts w:ascii="Times New Roman" w:hAnsi="Times New Roman" w:cs="Times New Roman"/>
          <w:sz w:val="26"/>
          <w:szCs w:val="26"/>
          <w:lang w:val="vi-VN"/>
        </w:rPr>
        <w:t>; Điều 557</w:t>
      </w:r>
      <w:r w:rsidRPr="001F6E90">
        <w:rPr>
          <w:rFonts w:ascii="Times New Roman" w:hAnsi="Times New Roman" w:cs="Times New Roman"/>
          <w:sz w:val="26"/>
          <w:szCs w:val="26"/>
          <w:lang w:val="vi-VN"/>
        </w:rPr>
        <w:t>, Điều 578</w:t>
      </w:r>
      <w:r w:rsidRPr="00FE3667">
        <w:rPr>
          <w:rFonts w:ascii="Times New Roman" w:hAnsi="Times New Roman" w:cs="Times New Roman"/>
          <w:sz w:val="26"/>
          <w:szCs w:val="26"/>
          <w:lang w:val="vi-VN"/>
        </w:rPr>
        <w:t xml:space="preserve"> </w:t>
      </w:r>
      <w:r w:rsidR="005562AB">
        <w:rPr>
          <w:rFonts w:ascii="Times New Roman" w:hAnsi="Times New Roman" w:cs="Times New Roman"/>
          <w:sz w:val="26"/>
          <w:szCs w:val="26"/>
          <w:lang w:val="vi-VN"/>
        </w:rPr>
        <w:t>Giải thích của TANDTC về việc áp dụng Luật TTHS của nước CHND Trung Hoa năm 2020</w:t>
      </w:r>
      <w:r w:rsidRPr="00FE3667">
        <w:rPr>
          <w:rFonts w:ascii="Times New Roman" w:hAnsi="Times New Roman" w:cs="Times New Roman"/>
          <w:sz w:val="26"/>
          <w:szCs w:val="26"/>
          <w:lang w:val="vi-VN"/>
        </w:rPr>
        <w:t xml:space="preserve"> thì </w:t>
      </w:r>
      <w:r w:rsidRPr="00B81F71">
        <w:rPr>
          <w:rFonts w:ascii="Times New Roman" w:hAnsi="Times New Roman" w:cs="Times New Roman"/>
          <w:sz w:val="26"/>
          <w:szCs w:val="26"/>
          <w:lang w:val="vi-VN"/>
        </w:rPr>
        <w:t>n</w:t>
      </w:r>
      <w:r w:rsidRPr="00FE3667">
        <w:rPr>
          <w:rFonts w:ascii="Times New Roman" w:hAnsi="Times New Roman" w:cs="Times New Roman"/>
          <w:sz w:val="26"/>
          <w:szCs w:val="26"/>
          <w:lang w:val="vi-VN"/>
        </w:rPr>
        <w:t xml:space="preserve">hững vụ án </w:t>
      </w:r>
      <w:r w:rsidR="00952599" w:rsidRPr="00952599">
        <w:rPr>
          <w:rFonts w:ascii="Times New Roman" w:hAnsi="Times New Roman" w:cs="Times New Roman"/>
          <w:sz w:val="26"/>
          <w:szCs w:val="26"/>
          <w:lang w:val="vi-VN"/>
        </w:rPr>
        <w:t>c</w:t>
      </w:r>
      <w:r w:rsidR="00952599" w:rsidRPr="00B11FDA">
        <w:rPr>
          <w:rFonts w:ascii="Times New Roman" w:hAnsi="Times New Roman" w:cs="Times New Roman"/>
          <w:sz w:val="26"/>
          <w:szCs w:val="26"/>
          <w:lang w:val="vi-VN"/>
        </w:rPr>
        <w:t>ó</w:t>
      </w:r>
      <w:r w:rsidRPr="00FE3667">
        <w:rPr>
          <w:rFonts w:ascii="Times New Roman" w:hAnsi="Times New Roman" w:cs="Times New Roman"/>
          <w:sz w:val="26"/>
          <w:szCs w:val="26"/>
          <w:lang w:val="vi-VN"/>
        </w:rPr>
        <w:t xml:space="preserve"> bị cáo chưa đủ 18 tuổi vào thời điểm xét xử </w:t>
      </w:r>
      <w:r w:rsidR="00B11FDA" w:rsidRPr="00B11FDA">
        <w:rPr>
          <w:rFonts w:ascii="Times New Roman" w:hAnsi="Times New Roman" w:cs="Times New Roman"/>
          <w:sz w:val="26"/>
          <w:szCs w:val="26"/>
          <w:lang w:val="vi-VN"/>
        </w:rPr>
        <w:t xml:space="preserve">thì </w:t>
      </w:r>
      <w:r w:rsidRPr="00FE3667">
        <w:rPr>
          <w:rFonts w:ascii="Times New Roman" w:hAnsi="Times New Roman" w:cs="Times New Roman"/>
          <w:sz w:val="26"/>
          <w:szCs w:val="26"/>
          <w:lang w:val="vi-VN"/>
        </w:rPr>
        <w:t xml:space="preserve">sẽ không được xét xử công khai. </w:t>
      </w:r>
      <w:r w:rsidRPr="001F6E90">
        <w:rPr>
          <w:rFonts w:ascii="Times New Roman" w:hAnsi="Times New Roman" w:cs="Times New Roman"/>
          <w:sz w:val="26"/>
          <w:szCs w:val="26"/>
          <w:lang w:val="vi-VN"/>
        </w:rPr>
        <w:t>Tuy nhiên, việc tuyên án sẽ được tuyên công khai</w:t>
      </w:r>
      <w:r w:rsidRPr="000E04FC">
        <w:rPr>
          <w:rFonts w:ascii="Times New Roman" w:hAnsi="Times New Roman" w:cs="Times New Roman"/>
          <w:sz w:val="26"/>
          <w:szCs w:val="26"/>
          <w:lang w:val="vi-VN"/>
        </w:rPr>
        <w:t>.</w:t>
      </w:r>
    </w:p>
    <w:p w14:paraId="3B2F87DE" w14:textId="1FC562B1" w:rsidR="00C07284" w:rsidRDefault="007062D4" w:rsidP="007062D4">
      <w:pPr>
        <w:spacing w:before="120" w:after="0" w:line="240" w:lineRule="auto"/>
        <w:ind w:firstLine="709"/>
        <w:jc w:val="both"/>
        <w:rPr>
          <w:rFonts w:ascii="Times New Roman" w:hAnsi="Times New Roman" w:cs="Times New Roman"/>
          <w:sz w:val="26"/>
          <w:szCs w:val="26"/>
          <w:lang w:val="vi-VN"/>
        </w:rPr>
      </w:pPr>
      <w:r w:rsidRPr="005B28B1">
        <w:rPr>
          <w:rFonts w:ascii="Times New Roman" w:hAnsi="Times New Roman" w:cs="Times New Roman"/>
          <w:sz w:val="26"/>
          <w:szCs w:val="26"/>
          <w:lang w:val="vi-VN"/>
        </w:rPr>
        <w:t xml:space="preserve">Theo Điều 559 </w:t>
      </w:r>
      <w:r w:rsidR="005562AB">
        <w:rPr>
          <w:rFonts w:ascii="Times New Roman" w:hAnsi="Times New Roman" w:cs="Times New Roman"/>
          <w:sz w:val="26"/>
          <w:szCs w:val="26"/>
          <w:lang w:val="vi-VN"/>
        </w:rPr>
        <w:t>Giải thích của TANDTC về việc áp dụng Luật TTHS của nước CHND Trung Hoa năm 2020</w:t>
      </w:r>
      <w:r w:rsidRPr="00D14B94">
        <w:rPr>
          <w:rFonts w:ascii="Times New Roman" w:hAnsi="Times New Roman" w:cs="Times New Roman"/>
          <w:sz w:val="26"/>
          <w:szCs w:val="26"/>
          <w:lang w:val="vi-VN"/>
        </w:rPr>
        <w:t xml:space="preserve"> thì </w:t>
      </w:r>
      <w:r w:rsidRPr="001F257F">
        <w:rPr>
          <w:rFonts w:ascii="Times New Roman" w:hAnsi="Times New Roman" w:cs="Times New Roman"/>
          <w:sz w:val="26"/>
          <w:szCs w:val="26"/>
          <w:lang w:val="vi-VN"/>
        </w:rPr>
        <w:t>k</w:t>
      </w:r>
      <w:r w:rsidRPr="000E04FC">
        <w:rPr>
          <w:rFonts w:ascii="Times New Roman" w:hAnsi="Times New Roman" w:cs="Times New Roman"/>
          <w:sz w:val="26"/>
          <w:szCs w:val="26"/>
          <w:lang w:val="vi-VN"/>
        </w:rPr>
        <w:t xml:space="preserve">hi xét xử vụ án hình sự có người chưa thành niên thì không được tiết lộ tên, địa chỉ, ảnh và những thông tin khác có thể nhận dạng người chưa thành niên ra bên ngoài. </w:t>
      </w:r>
      <w:r w:rsidRPr="00F5014B">
        <w:rPr>
          <w:rFonts w:ascii="Times New Roman" w:hAnsi="Times New Roman" w:cs="Times New Roman"/>
          <w:sz w:val="26"/>
          <w:szCs w:val="26"/>
          <w:lang w:val="vi-VN"/>
        </w:rPr>
        <w:t>Tài liệu hồ sơ vụ án được xem xét, trích đoạn, sao chép nếu liên quan đến trẻ vị thành niên thì không được tiết lộ, phổ biến.</w:t>
      </w:r>
      <w:r w:rsidR="00E65988" w:rsidRPr="00E65988">
        <w:rPr>
          <w:rFonts w:ascii="Times New Roman" w:hAnsi="Times New Roman" w:cs="Times New Roman"/>
          <w:sz w:val="26"/>
          <w:szCs w:val="26"/>
          <w:lang w:val="vi-VN"/>
        </w:rPr>
        <w:t xml:space="preserve"> </w:t>
      </w:r>
    </w:p>
    <w:p w14:paraId="3B83AE5A" w14:textId="18CBF613" w:rsidR="007062D4" w:rsidRPr="00E65988" w:rsidRDefault="00E65988" w:rsidP="007062D4">
      <w:pPr>
        <w:spacing w:before="120" w:after="0" w:line="240" w:lineRule="auto"/>
        <w:ind w:firstLine="709"/>
        <w:jc w:val="both"/>
        <w:rPr>
          <w:rFonts w:ascii="Times New Roman" w:hAnsi="Times New Roman" w:cs="Times New Roman"/>
          <w:sz w:val="26"/>
          <w:szCs w:val="26"/>
          <w:lang w:val="vi-VN"/>
        </w:rPr>
      </w:pPr>
      <w:r w:rsidRPr="003C20A4">
        <w:rPr>
          <w:rFonts w:ascii="Times New Roman" w:hAnsi="Times New Roman" w:cs="Times New Roman"/>
          <w:sz w:val="26"/>
          <w:szCs w:val="26"/>
          <w:lang w:val="vi-VN"/>
        </w:rPr>
        <w:t xml:space="preserve">Điều 581 </w:t>
      </w:r>
      <w:r w:rsidR="005562AB">
        <w:rPr>
          <w:rFonts w:ascii="Times New Roman" w:hAnsi="Times New Roman" w:cs="Times New Roman"/>
          <w:sz w:val="26"/>
          <w:szCs w:val="26"/>
          <w:lang w:val="vi-VN"/>
        </w:rPr>
        <w:t>Giải thích của TANDTC về việc áp dụng Luật TTHS của nước CHND Trung Hoa năm 2020</w:t>
      </w:r>
      <w:r w:rsidRPr="003C20A4">
        <w:rPr>
          <w:rFonts w:ascii="Times New Roman" w:hAnsi="Times New Roman" w:cs="Times New Roman"/>
          <w:sz w:val="26"/>
          <w:szCs w:val="26"/>
          <w:lang w:val="vi-VN"/>
        </w:rPr>
        <w:t xml:space="preserve"> cũng có hướng dẫn</w:t>
      </w:r>
      <w:r w:rsidRPr="008E7FC8">
        <w:rPr>
          <w:rFonts w:ascii="Times New Roman" w:hAnsi="Times New Roman" w:cs="Times New Roman"/>
          <w:sz w:val="26"/>
          <w:szCs w:val="26"/>
          <w:lang w:val="vi-VN"/>
        </w:rPr>
        <w:t xml:space="preserve"> </w:t>
      </w:r>
      <w:r w:rsidRPr="00F2584F">
        <w:rPr>
          <w:rFonts w:ascii="Times New Roman" w:hAnsi="Times New Roman" w:cs="Times New Roman"/>
          <w:sz w:val="26"/>
          <w:szCs w:val="26"/>
          <w:lang w:val="vi-VN"/>
        </w:rPr>
        <w:t>k</w:t>
      </w:r>
      <w:r w:rsidRPr="00B02470">
        <w:rPr>
          <w:rFonts w:ascii="Times New Roman" w:hAnsi="Times New Roman" w:cs="Times New Roman"/>
          <w:sz w:val="26"/>
          <w:szCs w:val="26"/>
          <w:lang w:val="vi-VN"/>
        </w:rPr>
        <w:t>hi cơ quan tư pháp hoặc đơn vị liên quan đề nghị Tòa án nhân dân xem xét hồ sơ vụ án đã được niêm phong thì phải cung cấp lý do, căn cứ cho việc điều tra. Đối với yêu cầu điều tra, Tòa án nhân dân phải kịp thời ra quyết định có đồng ý hay không</w:t>
      </w:r>
      <w:r w:rsidRPr="00F2584F">
        <w:rPr>
          <w:rFonts w:ascii="Times New Roman" w:hAnsi="Times New Roman" w:cs="Times New Roman"/>
          <w:sz w:val="26"/>
          <w:szCs w:val="26"/>
          <w:lang w:val="vi-VN"/>
        </w:rPr>
        <w:t>.</w:t>
      </w:r>
    </w:p>
    <w:p w14:paraId="3CDC92B8" w14:textId="786F129E" w:rsidR="001A46DE" w:rsidRPr="00B7580B" w:rsidRDefault="00D93071" w:rsidP="00470B32">
      <w:pPr>
        <w:spacing w:before="120" w:after="0" w:line="240" w:lineRule="auto"/>
        <w:ind w:firstLine="709"/>
        <w:jc w:val="both"/>
        <w:rPr>
          <w:rFonts w:ascii="Times New Roman" w:hAnsi="Times New Roman" w:cs="Times New Roman"/>
          <w:sz w:val="26"/>
          <w:szCs w:val="26"/>
          <w:lang w:val="vi-VN"/>
        </w:rPr>
      </w:pPr>
      <w:r w:rsidRPr="00D93071">
        <w:rPr>
          <w:rFonts w:ascii="Times New Roman" w:hAnsi="Times New Roman" w:cs="Times New Roman"/>
          <w:sz w:val="26"/>
          <w:szCs w:val="26"/>
          <w:lang w:val="vi-VN"/>
        </w:rPr>
        <w:t>Ngày 24/05/2022, Tòa án nhân dân tối cao, Viện kiểm sát nhân dân tối cao, Bộ công an, Bộ tư pháp</w:t>
      </w:r>
      <w:r w:rsidR="0086456D" w:rsidRPr="0086456D">
        <w:rPr>
          <w:rFonts w:ascii="Times New Roman" w:hAnsi="Times New Roman" w:cs="Times New Roman"/>
          <w:sz w:val="26"/>
          <w:szCs w:val="26"/>
          <w:lang w:val="vi-VN"/>
        </w:rPr>
        <w:t xml:space="preserve"> Trung Qu</w:t>
      </w:r>
      <w:r w:rsidR="0086456D" w:rsidRPr="00961B50">
        <w:rPr>
          <w:rFonts w:ascii="Times New Roman" w:hAnsi="Times New Roman" w:cs="Times New Roman"/>
          <w:sz w:val="26"/>
          <w:szCs w:val="26"/>
          <w:lang w:val="vi-VN"/>
        </w:rPr>
        <w:t>ốc</w:t>
      </w:r>
      <w:r w:rsidRPr="00D93071">
        <w:rPr>
          <w:rFonts w:ascii="Times New Roman" w:hAnsi="Times New Roman" w:cs="Times New Roman"/>
          <w:sz w:val="26"/>
          <w:szCs w:val="26"/>
          <w:lang w:val="vi-VN"/>
        </w:rPr>
        <w:t xml:space="preserve"> ban hành </w:t>
      </w:r>
      <w:r w:rsidRPr="00D93071">
        <w:rPr>
          <w:rFonts w:ascii="Times New Roman" w:hAnsi="Times New Roman" w:cs="Times New Roman"/>
          <w:i/>
          <w:iCs/>
          <w:sz w:val="26"/>
          <w:szCs w:val="26"/>
          <w:lang w:val="vi-VN"/>
        </w:rPr>
        <w:t>"Biện pháp thực hiện niêm phong hồ sơ tội phạm vị thành niên"</w:t>
      </w:r>
      <w:r w:rsidRPr="00D93071">
        <w:rPr>
          <w:rFonts w:ascii="Times New Roman" w:hAnsi="Times New Roman" w:cs="Times New Roman"/>
          <w:sz w:val="26"/>
          <w:szCs w:val="26"/>
          <w:lang w:val="vi-VN"/>
        </w:rPr>
        <w:t xml:space="preserve"> với nhiều quy định bảo mật đối với hồ sơ tội phạm</w:t>
      </w:r>
      <w:r w:rsidR="001A46DE" w:rsidRPr="001A46DE">
        <w:rPr>
          <w:rFonts w:ascii="Times New Roman" w:hAnsi="Times New Roman" w:cs="Times New Roman"/>
          <w:sz w:val="26"/>
          <w:szCs w:val="26"/>
          <w:lang w:val="vi-VN"/>
        </w:rPr>
        <w:t xml:space="preserve"> của người chưa thành niên, cụ thể</w:t>
      </w:r>
      <w:r w:rsidR="00E44CC4" w:rsidRPr="00E44CC4">
        <w:rPr>
          <w:rFonts w:ascii="Times New Roman" w:hAnsi="Times New Roman" w:cs="Times New Roman"/>
          <w:sz w:val="26"/>
          <w:szCs w:val="26"/>
          <w:lang w:val="vi-VN"/>
        </w:rPr>
        <w:t xml:space="preserve"> một s</w:t>
      </w:r>
      <w:r w:rsidR="00E44CC4" w:rsidRPr="000866AB">
        <w:rPr>
          <w:rFonts w:ascii="Times New Roman" w:hAnsi="Times New Roman" w:cs="Times New Roman"/>
          <w:sz w:val="26"/>
          <w:szCs w:val="26"/>
          <w:lang w:val="vi-VN"/>
        </w:rPr>
        <w:t>ố</w:t>
      </w:r>
      <w:r w:rsidR="001A46DE" w:rsidRPr="001A46DE">
        <w:rPr>
          <w:rFonts w:ascii="Times New Roman" w:hAnsi="Times New Roman" w:cs="Times New Roman"/>
          <w:sz w:val="26"/>
          <w:szCs w:val="26"/>
          <w:lang w:val="vi-VN"/>
        </w:rPr>
        <w:t xml:space="preserve"> nội dung</w:t>
      </w:r>
      <w:r w:rsidR="000866AB" w:rsidRPr="000866AB">
        <w:rPr>
          <w:rFonts w:ascii="Times New Roman" w:hAnsi="Times New Roman" w:cs="Times New Roman"/>
          <w:sz w:val="26"/>
          <w:szCs w:val="26"/>
          <w:lang w:val="vi-VN"/>
        </w:rPr>
        <w:t xml:space="preserve"> ch</w:t>
      </w:r>
      <w:r w:rsidR="000866AB" w:rsidRPr="00264520">
        <w:rPr>
          <w:rFonts w:ascii="Times New Roman" w:hAnsi="Times New Roman" w:cs="Times New Roman"/>
          <w:sz w:val="26"/>
          <w:szCs w:val="26"/>
          <w:lang w:val="vi-VN"/>
        </w:rPr>
        <w:t>ính</w:t>
      </w:r>
      <w:r w:rsidR="001A46DE" w:rsidRPr="001A46DE">
        <w:rPr>
          <w:rFonts w:ascii="Times New Roman" w:hAnsi="Times New Roman" w:cs="Times New Roman"/>
          <w:sz w:val="26"/>
          <w:szCs w:val="26"/>
          <w:lang w:val="vi-VN"/>
        </w:rPr>
        <w:t xml:space="preserve"> như sau:</w:t>
      </w:r>
    </w:p>
    <w:p w14:paraId="574D0718" w14:textId="2810A6EC" w:rsidR="00F27C50" w:rsidRDefault="00F27C50" w:rsidP="00BE6644">
      <w:pPr>
        <w:spacing w:before="120" w:after="0" w:line="240" w:lineRule="auto"/>
        <w:ind w:firstLine="709"/>
        <w:jc w:val="both"/>
        <w:rPr>
          <w:rFonts w:ascii="Times New Roman" w:hAnsi="Times New Roman" w:cs="Times New Roman"/>
          <w:sz w:val="26"/>
          <w:szCs w:val="26"/>
          <w:lang w:val="vi-VN"/>
        </w:rPr>
      </w:pPr>
      <w:r w:rsidRPr="00BE6644">
        <w:rPr>
          <w:rFonts w:ascii="Times New Roman" w:hAnsi="Times New Roman" w:cs="Times New Roman"/>
          <w:sz w:val="26"/>
          <w:szCs w:val="26"/>
          <w:lang w:val="vi-VN"/>
        </w:rPr>
        <w:t xml:space="preserve">- </w:t>
      </w:r>
      <w:r w:rsidR="00BE6644" w:rsidRPr="00BE6644">
        <w:rPr>
          <w:rFonts w:ascii="Times New Roman" w:hAnsi="Times New Roman" w:cs="Times New Roman"/>
          <w:sz w:val="26"/>
          <w:szCs w:val="26"/>
          <w:lang w:val="vi-VN"/>
        </w:rPr>
        <w:t>Việc niêm phong hồ sơ tội phạm của người chưa thành niên phải kịp thời và có hiệu quả. Trẻ vị thành niên đã được niêm phong hồ sơ tội phạm được miễn nghĩa vụ khai báo hồ sơ tội phạm khi gia nhập quân đội hoặc đi làm. Tuy nhiên, khi người chưa thành niên đã được niêm phong lý lịch bị cơ quan tư pháp điều tra vì bị nghi ngờ phạm tội khác thì phải chủ động thú tội một cách trung thực và không được trốn tránh, che giấu.</w:t>
      </w:r>
    </w:p>
    <w:p w14:paraId="21E0668E" w14:textId="0F7DE3B9" w:rsidR="00EB662A" w:rsidRDefault="00EB662A" w:rsidP="00BE6644">
      <w:pPr>
        <w:spacing w:before="120" w:after="0" w:line="240" w:lineRule="auto"/>
        <w:ind w:firstLine="709"/>
        <w:jc w:val="both"/>
        <w:rPr>
          <w:rFonts w:ascii="Times New Roman" w:hAnsi="Times New Roman" w:cs="Times New Roman"/>
          <w:sz w:val="26"/>
          <w:szCs w:val="26"/>
          <w:lang w:val="vi-VN"/>
        </w:rPr>
      </w:pPr>
      <w:r w:rsidRPr="00602B4F">
        <w:rPr>
          <w:rFonts w:ascii="Times New Roman" w:hAnsi="Times New Roman" w:cs="Times New Roman"/>
          <w:sz w:val="26"/>
          <w:szCs w:val="26"/>
          <w:lang w:val="vi-VN"/>
        </w:rPr>
        <w:t xml:space="preserve">- </w:t>
      </w:r>
      <w:r w:rsidR="00602B4F" w:rsidRPr="00602B4F">
        <w:rPr>
          <w:rFonts w:ascii="Times New Roman" w:hAnsi="Times New Roman" w:cs="Times New Roman"/>
          <w:sz w:val="26"/>
          <w:szCs w:val="26"/>
          <w:lang w:val="vi-VN"/>
        </w:rPr>
        <w:t xml:space="preserve">Hồ sơ tội phạm vị thành niên cần được niêm phong sẽ không được công khai theo Luật bảo vệ thông tin cá nhân của Cộng hòa Nhân dân Trung Hoa, nhà nước bố trí kho lưu trữ tội phạm vị thành niên đặc biệt </w:t>
      </w:r>
      <w:r w:rsidR="00A368CD" w:rsidRPr="00A368CD">
        <w:rPr>
          <w:rFonts w:ascii="Times New Roman" w:hAnsi="Times New Roman" w:cs="Times New Roman"/>
          <w:sz w:val="26"/>
          <w:szCs w:val="26"/>
          <w:lang w:val="vi-VN"/>
        </w:rPr>
        <w:t xml:space="preserve">và </w:t>
      </w:r>
      <w:r w:rsidR="00602B4F" w:rsidRPr="00602B4F">
        <w:rPr>
          <w:rFonts w:ascii="Times New Roman" w:hAnsi="Times New Roman" w:cs="Times New Roman"/>
          <w:sz w:val="26"/>
          <w:szCs w:val="26"/>
          <w:lang w:val="vi-VN"/>
        </w:rPr>
        <w:t>thành lập và một hệ thống giám sát nghiêm ngặt</w:t>
      </w:r>
      <w:r w:rsidR="006C4D7B" w:rsidRPr="006C4D7B">
        <w:rPr>
          <w:rFonts w:ascii="Times New Roman" w:hAnsi="Times New Roman" w:cs="Times New Roman"/>
          <w:sz w:val="26"/>
          <w:szCs w:val="26"/>
          <w:lang w:val="vi-VN"/>
        </w:rPr>
        <w:t>.</w:t>
      </w:r>
    </w:p>
    <w:p w14:paraId="6B95FB48" w14:textId="396D0183" w:rsidR="00CE64EC" w:rsidRPr="00221EFC" w:rsidRDefault="00CE64EC" w:rsidP="00CE64EC">
      <w:pPr>
        <w:spacing w:before="120" w:after="0" w:line="240" w:lineRule="auto"/>
        <w:ind w:firstLine="709"/>
        <w:jc w:val="both"/>
        <w:rPr>
          <w:rFonts w:ascii="Times New Roman" w:hAnsi="Times New Roman" w:cs="Times New Roman"/>
          <w:sz w:val="26"/>
          <w:szCs w:val="26"/>
          <w:lang w:val="vi-VN"/>
        </w:rPr>
      </w:pPr>
      <w:r w:rsidRPr="00CE64EC">
        <w:rPr>
          <w:rFonts w:ascii="Times New Roman" w:hAnsi="Times New Roman" w:cs="Times New Roman"/>
          <w:sz w:val="26"/>
          <w:szCs w:val="26"/>
          <w:lang w:val="vi-VN"/>
        </w:rPr>
        <w:t xml:space="preserve">- Các cơ quan tư pháp, cơ quan quản lý giáo dục, trường học nơi trẻ vị thành niên làm việc, cộng đồng, các tổ chức khác và nhân viên của họ, người tham gia tố tụng, điều tra viên xã hội, các cá nhân khác... những người biết được thông tin được niêm phong của trẻ vị thành niên vì lý do công việc </w:t>
      </w:r>
      <w:r w:rsidR="009504BE" w:rsidRPr="009504BE">
        <w:rPr>
          <w:rFonts w:ascii="Times New Roman" w:hAnsi="Times New Roman" w:cs="Times New Roman"/>
          <w:sz w:val="26"/>
          <w:szCs w:val="26"/>
          <w:lang w:val="vi-VN"/>
        </w:rPr>
        <w:t>phả</w:t>
      </w:r>
      <w:r w:rsidR="009504BE" w:rsidRPr="00AE306B">
        <w:rPr>
          <w:rFonts w:ascii="Times New Roman" w:hAnsi="Times New Roman" w:cs="Times New Roman"/>
          <w:sz w:val="26"/>
          <w:szCs w:val="26"/>
          <w:lang w:val="vi-VN"/>
        </w:rPr>
        <w:t>i</w:t>
      </w:r>
      <w:r w:rsidRPr="00CE64EC">
        <w:rPr>
          <w:rFonts w:ascii="Times New Roman" w:hAnsi="Times New Roman" w:cs="Times New Roman"/>
          <w:sz w:val="26"/>
          <w:szCs w:val="26"/>
          <w:lang w:val="vi-VN"/>
        </w:rPr>
        <w:t xml:space="preserve"> làm tốt công việc lưu giữ bí mật, hồ sơ tội phạm được niêm phong sẽ không được tiết lộ và tên, địa chỉ, ảnh và các thông tin khác của trẻ vị thành niên có thể được sử dụng để suy ra danh tính của trẻ vị th</w:t>
      </w:r>
      <w:r w:rsidRPr="00CE64EC">
        <w:rPr>
          <w:rFonts w:ascii="Times New Roman" w:hAnsi="Times New Roman" w:cs="Times New Roman" w:hint="eastAsia"/>
          <w:sz w:val="26"/>
          <w:szCs w:val="26"/>
          <w:lang w:val="vi-VN"/>
        </w:rPr>
        <w:t>à</w:t>
      </w:r>
      <w:r w:rsidRPr="00CE64EC">
        <w:rPr>
          <w:rFonts w:ascii="Times New Roman" w:hAnsi="Times New Roman" w:cs="Times New Roman"/>
          <w:sz w:val="26"/>
          <w:szCs w:val="26"/>
          <w:lang w:val="vi-VN"/>
        </w:rPr>
        <w:t xml:space="preserve">nh niên sẽ không được tiết lộ </w:t>
      </w:r>
      <w:r w:rsidR="00A73F04" w:rsidRPr="00A73F04">
        <w:rPr>
          <w:rFonts w:ascii="Times New Roman" w:hAnsi="Times New Roman" w:cs="Times New Roman"/>
          <w:sz w:val="26"/>
          <w:szCs w:val="26"/>
          <w:lang w:val="vi-VN"/>
        </w:rPr>
        <w:t>r</w:t>
      </w:r>
      <w:r w:rsidR="00A73F04" w:rsidRPr="007E377A">
        <w:rPr>
          <w:rFonts w:ascii="Times New Roman" w:hAnsi="Times New Roman" w:cs="Times New Roman"/>
          <w:sz w:val="26"/>
          <w:szCs w:val="26"/>
          <w:lang w:val="vi-VN"/>
        </w:rPr>
        <w:t>a</w:t>
      </w:r>
      <w:r w:rsidRPr="00CE64EC">
        <w:rPr>
          <w:rFonts w:ascii="Times New Roman" w:hAnsi="Times New Roman" w:cs="Times New Roman"/>
          <w:sz w:val="26"/>
          <w:szCs w:val="26"/>
          <w:lang w:val="vi-VN"/>
        </w:rPr>
        <w:t xml:space="preserve"> bên ngoài. </w:t>
      </w:r>
      <w:r w:rsidRPr="00221EFC">
        <w:rPr>
          <w:rFonts w:ascii="Times New Roman" w:hAnsi="Times New Roman" w:cs="Times New Roman"/>
          <w:sz w:val="26"/>
          <w:szCs w:val="26"/>
          <w:lang w:val="vi-VN"/>
        </w:rPr>
        <w:t>Đơn vị, cá nhân nào tiết lộ thông tin bị niêm phong trái với quy định của pháp luật sẽ phải chịu trách nhiệm trước pháp luật.</w:t>
      </w:r>
    </w:p>
    <w:p w14:paraId="0727B422" w14:textId="28E2D9B1" w:rsidR="00B060CE" w:rsidRPr="00887EA1" w:rsidRDefault="00B060CE" w:rsidP="00CE64EC">
      <w:pPr>
        <w:spacing w:before="120" w:after="0" w:line="240" w:lineRule="auto"/>
        <w:ind w:firstLine="709"/>
        <w:jc w:val="both"/>
        <w:rPr>
          <w:rFonts w:ascii="Times New Roman" w:hAnsi="Times New Roman" w:cs="Times New Roman"/>
          <w:sz w:val="26"/>
          <w:szCs w:val="26"/>
          <w:lang w:val="vi-VN"/>
        </w:rPr>
      </w:pPr>
      <w:r w:rsidRPr="00887EA1">
        <w:rPr>
          <w:rFonts w:ascii="Times New Roman" w:hAnsi="Times New Roman" w:cs="Times New Roman"/>
          <w:sz w:val="26"/>
          <w:szCs w:val="26"/>
          <w:lang w:val="vi-VN"/>
        </w:rPr>
        <w:t>- Nếu thông tin về người chưa thành niên liên quan đến vụ án cần được niêm phong bị tiết lộ không đúng quy định, dẫn đến việc người chưa thành niên không được đối xử bình đẳng về học tập, việc làm, an toàn tính mạn</w:t>
      </w:r>
      <w:r w:rsidR="00884D3C" w:rsidRPr="00887EA1">
        <w:rPr>
          <w:rFonts w:ascii="Times New Roman" w:hAnsi="Times New Roman" w:cs="Times New Roman"/>
          <w:sz w:val="26"/>
          <w:szCs w:val="26"/>
          <w:lang w:val="vi-VN"/>
        </w:rPr>
        <w:t>g.</w:t>
      </w:r>
      <w:r w:rsidRPr="00887EA1">
        <w:rPr>
          <w:rFonts w:ascii="Times New Roman" w:hAnsi="Times New Roman" w:cs="Times New Roman"/>
          <w:sz w:val="26"/>
          <w:szCs w:val="26"/>
          <w:lang w:val="vi-VN"/>
        </w:rPr>
        <w:t>.. thì người chưa thành niên và người đại diện hợp pháp của họ có thể khiếu nại đến cơ quan có liên quan</w:t>
      </w:r>
      <w:r w:rsidR="00E74A5A" w:rsidRPr="00E74A5A">
        <w:rPr>
          <w:rFonts w:ascii="Times New Roman" w:hAnsi="Times New Roman" w:cs="Times New Roman"/>
          <w:sz w:val="26"/>
          <w:szCs w:val="26"/>
          <w:lang w:val="vi-VN"/>
        </w:rPr>
        <w:t xml:space="preserve"> </w:t>
      </w:r>
      <w:r w:rsidRPr="00887EA1">
        <w:rPr>
          <w:rFonts w:ascii="Times New Roman" w:hAnsi="Times New Roman" w:cs="Times New Roman"/>
          <w:sz w:val="26"/>
          <w:szCs w:val="26"/>
          <w:lang w:val="vi-VN"/>
        </w:rPr>
        <w:t>đề nghị niêm phong hoặc nộp đơn lên Viện kiểm sát nhân dân để giám sát.</w:t>
      </w:r>
    </w:p>
    <w:p w14:paraId="5C0F0679" w14:textId="4ADB28BA" w:rsidR="003C1CE2" w:rsidRPr="00887EA1" w:rsidRDefault="003C1CE2" w:rsidP="00CE64EC">
      <w:pPr>
        <w:spacing w:before="120" w:after="0" w:line="240" w:lineRule="auto"/>
        <w:ind w:firstLine="709"/>
        <w:jc w:val="both"/>
        <w:rPr>
          <w:rFonts w:ascii="Times New Roman" w:hAnsi="Times New Roman" w:cs="Times New Roman"/>
          <w:sz w:val="26"/>
          <w:szCs w:val="26"/>
          <w:lang w:val="vi-VN"/>
        </w:rPr>
      </w:pPr>
      <w:r w:rsidRPr="00887EA1">
        <w:rPr>
          <w:rFonts w:ascii="Times New Roman" w:hAnsi="Times New Roman" w:cs="Times New Roman"/>
          <w:sz w:val="26"/>
          <w:szCs w:val="26"/>
          <w:lang w:val="vi-VN"/>
        </w:rPr>
        <w:t xml:space="preserve">Pháp luật Trung Quốc </w:t>
      </w:r>
      <w:r w:rsidR="00F21837" w:rsidRPr="00887EA1">
        <w:rPr>
          <w:rFonts w:ascii="Times New Roman" w:hAnsi="Times New Roman" w:cs="Times New Roman"/>
          <w:sz w:val="26"/>
          <w:szCs w:val="26"/>
          <w:lang w:val="vi-VN"/>
        </w:rPr>
        <w:t xml:space="preserve">đã quy định cơ chế bảo vệ tối đa đối với </w:t>
      </w:r>
      <w:r w:rsidR="007329C0" w:rsidRPr="00887EA1">
        <w:rPr>
          <w:rFonts w:ascii="Times New Roman" w:hAnsi="Times New Roman" w:cs="Times New Roman"/>
          <w:sz w:val="26"/>
          <w:szCs w:val="26"/>
          <w:lang w:val="vi-VN"/>
        </w:rPr>
        <w:t>hồ sơ của</w:t>
      </w:r>
      <w:r w:rsidR="00F21837" w:rsidRPr="00887EA1">
        <w:rPr>
          <w:rFonts w:ascii="Times New Roman" w:hAnsi="Times New Roman" w:cs="Times New Roman"/>
          <w:sz w:val="26"/>
          <w:szCs w:val="26"/>
          <w:lang w:val="vi-VN"/>
        </w:rPr>
        <w:t xml:space="preserve"> người chưa thành niên phạm tội ngay trong các giai đoạn TTHS để bảo đảm </w:t>
      </w:r>
      <w:r w:rsidR="007329C0" w:rsidRPr="00887EA1">
        <w:rPr>
          <w:rFonts w:ascii="Times New Roman" w:hAnsi="Times New Roman" w:cs="Times New Roman"/>
          <w:sz w:val="26"/>
          <w:szCs w:val="26"/>
          <w:lang w:val="vi-VN"/>
        </w:rPr>
        <w:t xml:space="preserve">toàn bộ </w:t>
      </w:r>
      <w:r w:rsidR="00D22773" w:rsidRPr="00887EA1">
        <w:rPr>
          <w:rFonts w:ascii="Times New Roman" w:hAnsi="Times New Roman" w:cs="Times New Roman"/>
          <w:sz w:val="26"/>
          <w:szCs w:val="26"/>
          <w:lang w:val="vi-VN"/>
        </w:rPr>
        <w:t xml:space="preserve">thông tin liên quan sẽ được bảo mật, không bị </w:t>
      </w:r>
      <w:r w:rsidR="00492CCF" w:rsidRPr="00887EA1">
        <w:rPr>
          <w:rFonts w:ascii="Times New Roman" w:hAnsi="Times New Roman" w:cs="Times New Roman"/>
          <w:sz w:val="26"/>
          <w:szCs w:val="26"/>
          <w:lang w:val="vi-VN"/>
        </w:rPr>
        <w:t xml:space="preserve">công khai ra bên ngoài, gây ảnh hưởng đến </w:t>
      </w:r>
      <w:r w:rsidR="00CC32E6" w:rsidRPr="00887EA1">
        <w:rPr>
          <w:rFonts w:ascii="Times New Roman" w:hAnsi="Times New Roman" w:cs="Times New Roman"/>
          <w:sz w:val="26"/>
          <w:szCs w:val="26"/>
          <w:lang w:val="vi-VN"/>
        </w:rPr>
        <w:t xml:space="preserve">khả năng học tập, làm </w:t>
      </w:r>
      <w:r w:rsidR="00CC32E6" w:rsidRPr="00887EA1">
        <w:rPr>
          <w:rFonts w:ascii="Times New Roman" w:hAnsi="Times New Roman" w:cs="Times New Roman"/>
          <w:sz w:val="26"/>
          <w:szCs w:val="26"/>
          <w:lang w:val="vi-VN"/>
        </w:rPr>
        <w:lastRenderedPageBreak/>
        <w:t>việc của người chưa thành niên trong tương lai.</w:t>
      </w:r>
      <w:r w:rsidR="00E870AC" w:rsidRPr="00887EA1">
        <w:rPr>
          <w:rFonts w:ascii="Times New Roman" w:hAnsi="Times New Roman" w:cs="Times New Roman"/>
          <w:sz w:val="26"/>
          <w:szCs w:val="26"/>
          <w:lang w:val="vi-VN"/>
        </w:rPr>
        <w:t xml:space="preserve"> Với quy định này, người chưa thành niên phạm tội sẽ được trở lại xã hội "không dấu vết", trên thực tiễn, nhiều trẻ vị thành niên đã hưởng lợi từ quy định này và trở lại hòa nhập với cộng đồng một cách tích cực hơn.</w:t>
      </w:r>
    </w:p>
    <w:p w14:paraId="305F7A59" w14:textId="7DE11D0B" w:rsidR="007828FC" w:rsidRPr="00CD0104" w:rsidRDefault="00CD0104" w:rsidP="002B203F">
      <w:pPr>
        <w:spacing w:before="120" w:after="0" w:line="240" w:lineRule="auto"/>
        <w:ind w:firstLine="709"/>
        <w:jc w:val="both"/>
        <w:rPr>
          <w:rFonts w:ascii="Times New Roman" w:hAnsi="Times New Roman" w:cs="Times New Roman"/>
          <w:b/>
          <w:bCs/>
          <w:i/>
          <w:iCs/>
          <w:sz w:val="26"/>
          <w:szCs w:val="26"/>
          <w:lang w:val="vi-VN"/>
        </w:rPr>
      </w:pPr>
      <w:r w:rsidRPr="00CD0104">
        <w:rPr>
          <w:rFonts w:ascii="Times New Roman" w:hAnsi="Times New Roman" w:cs="Times New Roman"/>
          <w:b/>
          <w:bCs/>
          <w:i/>
          <w:iCs/>
          <w:sz w:val="26"/>
          <w:szCs w:val="26"/>
          <w:lang w:val="vi-VN"/>
        </w:rPr>
        <w:t>2.</w:t>
      </w:r>
      <w:r w:rsidR="007828FC" w:rsidRPr="00CD0104">
        <w:rPr>
          <w:rFonts w:ascii="Times New Roman" w:hAnsi="Times New Roman" w:cs="Times New Roman"/>
          <w:b/>
          <w:bCs/>
          <w:i/>
          <w:iCs/>
          <w:sz w:val="26"/>
          <w:szCs w:val="26"/>
          <w:lang w:val="vi-VN"/>
        </w:rPr>
        <w:t xml:space="preserve">4. </w:t>
      </w:r>
      <w:r w:rsidR="00897C62" w:rsidRPr="00CD0104">
        <w:rPr>
          <w:rFonts w:ascii="Times New Roman" w:hAnsi="Times New Roman" w:cs="Times New Roman"/>
          <w:b/>
          <w:bCs/>
          <w:i/>
          <w:iCs/>
          <w:sz w:val="26"/>
          <w:szCs w:val="26"/>
          <w:lang w:val="vi-VN"/>
        </w:rPr>
        <w:t>Lý lịch tư pháp</w:t>
      </w:r>
      <w:r w:rsidR="00540493" w:rsidRPr="00CD0104">
        <w:rPr>
          <w:rFonts w:ascii="Times New Roman" w:hAnsi="Times New Roman" w:cs="Times New Roman"/>
          <w:b/>
          <w:bCs/>
          <w:i/>
          <w:iCs/>
          <w:sz w:val="26"/>
          <w:szCs w:val="26"/>
          <w:lang w:val="vi-VN"/>
        </w:rPr>
        <w:t xml:space="preserve"> của</w:t>
      </w:r>
      <w:r w:rsidR="00F81651" w:rsidRPr="00CD0104">
        <w:rPr>
          <w:rFonts w:ascii="Times New Roman" w:hAnsi="Times New Roman" w:cs="Times New Roman"/>
          <w:b/>
          <w:bCs/>
          <w:i/>
          <w:iCs/>
          <w:sz w:val="26"/>
          <w:szCs w:val="26"/>
          <w:lang w:val="vi-VN"/>
        </w:rPr>
        <w:t xml:space="preserve"> người chưa thành niên</w:t>
      </w:r>
    </w:p>
    <w:p w14:paraId="36723B2B" w14:textId="332EC50A" w:rsidR="00123C20" w:rsidRDefault="00D32482" w:rsidP="003C20A4">
      <w:pPr>
        <w:spacing w:before="120" w:after="0" w:line="240" w:lineRule="auto"/>
        <w:ind w:firstLine="709"/>
        <w:jc w:val="both"/>
        <w:rPr>
          <w:rFonts w:ascii="Times New Roman" w:hAnsi="Times New Roman" w:cs="Times New Roman"/>
          <w:sz w:val="26"/>
          <w:szCs w:val="26"/>
          <w:lang w:val="vi-VN"/>
        </w:rPr>
      </w:pPr>
      <w:r w:rsidRPr="00D32482">
        <w:rPr>
          <w:rFonts w:ascii="Times New Roman" w:hAnsi="Times New Roman" w:cs="Times New Roman"/>
          <w:sz w:val="26"/>
          <w:szCs w:val="26"/>
          <w:lang w:val="vi-VN"/>
        </w:rPr>
        <w:t>Theo quy định tại Điều 28</w:t>
      </w:r>
      <w:r w:rsidR="00942A03" w:rsidRPr="00942A03">
        <w:rPr>
          <w:rFonts w:ascii="Times New Roman" w:hAnsi="Times New Roman" w:cs="Times New Roman"/>
          <w:sz w:val="26"/>
          <w:szCs w:val="26"/>
          <w:lang w:val="vi-VN"/>
        </w:rPr>
        <w:t>6</w:t>
      </w:r>
      <w:r w:rsidRPr="00D32482">
        <w:rPr>
          <w:rFonts w:ascii="Times New Roman" w:hAnsi="Times New Roman" w:cs="Times New Roman"/>
          <w:sz w:val="26"/>
          <w:szCs w:val="26"/>
          <w:lang w:val="vi-VN"/>
        </w:rPr>
        <w:t xml:space="preserve"> Luật TTHS Trung Quốc </w:t>
      </w:r>
      <w:r w:rsidR="0017032D" w:rsidRPr="0017032D">
        <w:rPr>
          <w:rFonts w:ascii="Times New Roman" w:hAnsi="Times New Roman" w:cs="Times New Roman"/>
          <w:sz w:val="26"/>
          <w:szCs w:val="26"/>
          <w:lang w:val="vi-VN"/>
        </w:rPr>
        <w:t>năm 2018</w:t>
      </w:r>
      <w:r w:rsidR="00B3771F" w:rsidRPr="00B3771F">
        <w:rPr>
          <w:rFonts w:ascii="Times New Roman" w:hAnsi="Times New Roman" w:cs="Times New Roman"/>
          <w:sz w:val="26"/>
          <w:szCs w:val="26"/>
          <w:lang w:val="vi-VN"/>
        </w:rPr>
        <w:t xml:space="preserve"> thì</w:t>
      </w:r>
      <w:r w:rsidR="00F97EEA" w:rsidRPr="00F97EEA">
        <w:rPr>
          <w:rFonts w:ascii="Times New Roman" w:hAnsi="Times New Roman" w:cs="Times New Roman"/>
          <w:sz w:val="26"/>
          <w:szCs w:val="26"/>
          <w:lang w:val="vi-VN"/>
        </w:rPr>
        <w:t xml:space="preserve"> </w:t>
      </w:r>
      <w:r w:rsidR="00F97EEA" w:rsidRPr="003C20A4">
        <w:rPr>
          <w:rFonts w:ascii="Times New Roman" w:hAnsi="Times New Roman" w:cs="Times New Roman"/>
          <w:sz w:val="26"/>
          <w:szCs w:val="26"/>
          <w:lang w:val="vi-VN"/>
        </w:rPr>
        <w:t>t</w:t>
      </w:r>
      <w:r w:rsidR="00123C20" w:rsidRPr="00F81651">
        <w:rPr>
          <w:rFonts w:ascii="Times New Roman" w:hAnsi="Times New Roman" w:cs="Times New Roman"/>
          <w:sz w:val="26"/>
          <w:szCs w:val="26"/>
          <w:lang w:val="vi-VN"/>
        </w:rPr>
        <w:t>rường hợp phạm tội chưa đủ 18 tuổi mà bị phạt tù có thời hạn không quá năm năm hoặc hình phạt nhẹ hơn thì được xóa án tích. Không có lý lịch tư pháp nào được niêm phong có thể được cung cấp cho bất kỳ tổ chức hoặc cá nhân nào, trừ trường hợp cơ quan tư pháp yêu cầu xử lý vụ việc hoặc được một tổ chức có liên quan truy cập theo quy định của Nhà nước. Tổ chức tiếp cận hồ sơ tội phạm được niêm phong theo quy định của pháp luật phải bảo mật thông tin trong hồ sơ tội phạm.</w:t>
      </w:r>
    </w:p>
    <w:p w14:paraId="08EFA6A8" w14:textId="7A875660" w:rsidR="00942A03" w:rsidRDefault="00942A03" w:rsidP="00AB5CF0">
      <w:pPr>
        <w:spacing w:before="120" w:after="0" w:line="240" w:lineRule="auto"/>
        <w:ind w:firstLine="709"/>
        <w:jc w:val="both"/>
        <w:rPr>
          <w:rFonts w:ascii="Times New Roman" w:hAnsi="Times New Roman" w:cs="Times New Roman"/>
          <w:sz w:val="26"/>
          <w:szCs w:val="26"/>
          <w:lang w:val="vi-VN"/>
        </w:rPr>
      </w:pPr>
      <w:r w:rsidRPr="00207DA6">
        <w:rPr>
          <w:rFonts w:ascii="Times New Roman" w:hAnsi="Times New Roman" w:cs="Times New Roman"/>
          <w:sz w:val="26"/>
          <w:szCs w:val="26"/>
          <w:lang w:val="vi-VN"/>
        </w:rPr>
        <w:t xml:space="preserve">Bộ Công an Trung Quốc có xây dựng </w:t>
      </w:r>
      <w:r w:rsidRPr="00207DA6">
        <w:rPr>
          <w:rFonts w:ascii="Times New Roman" w:hAnsi="Times New Roman" w:cs="Times New Roman"/>
          <w:i/>
          <w:iCs/>
          <w:sz w:val="26"/>
          <w:szCs w:val="26"/>
          <w:lang w:val="vi-VN"/>
        </w:rPr>
        <w:t xml:space="preserve">"Quy chế </w:t>
      </w:r>
      <w:r w:rsidR="00207DA6" w:rsidRPr="00207DA6">
        <w:rPr>
          <w:rFonts w:ascii="Times New Roman" w:hAnsi="Times New Roman" w:cs="Times New Roman"/>
          <w:i/>
          <w:iCs/>
          <w:sz w:val="26"/>
          <w:szCs w:val="26"/>
          <w:lang w:val="vi-VN"/>
        </w:rPr>
        <w:t>điều tra lý lịch tư pháp của cơ quan Công an"</w:t>
      </w:r>
      <w:r w:rsidR="005C26FE" w:rsidRPr="005C26FE">
        <w:rPr>
          <w:rFonts w:ascii="Times New Roman" w:hAnsi="Times New Roman" w:cs="Times New Roman"/>
          <w:sz w:val="26"/>
          <w:szCs w:val="26"/>
          <w:lang w:val="vi-VN"/>
        </w:rPr>
        <w:t xml:space="preserve"> có hiệu lực vào ngày 31/12/2021</w:t>
      </w:r>
      <w:r w:rsidR="00207DA6" w:rsidRPr="00207DA6">
        <w:rPr>
          <w:rFonts w:ascii="Times New Roman" w:hAnsi="Times New Roman" w:cs="Times New Roman"/>
          <w:sz w:val="26"/>
          <w:szCs w:val="26"/>
          <w:lang w:val="vi-VN"/>
        </w:rPr>
        <w:t xml:space="preserve">, Quy chế này quy định rõ </w:t>
      </w:r>
      <w:r w:rsidR="005C26FE" w:rsidRPr="005C26FE">
        <w:rPr>
          <w:rFonts w:ascii="Times New Roman" w:hAnsi="Times New Roman" w:cs="Times New Roman"/>
          <w:sz w:val="26"/>
          <w:szCs w:val="26"/>
          <w:lang w:val="vi-VN"/>
        </w:rPr>
        <w:t xml:space="preserve">Đối với vấn đề cá nhân, nếu người nộp đơn có tiền án nhưng vào thời điểm phạm tội chưa đủ 18 tuổi và bị kết án phạt tù dưới 5 năm thì đơn vị tiếp nhận cấp </w:t>
      </w:r>
      <w:r w:rsidR="005C26FE" w:rsidRPr="00AB5CF0">
        <w:rPr>
          <w:rFonts w:ascii="Times New Roman" w:hAnsi="Times New Roman" w:cs="Times New Roman"/>
          <w:i/>
          <w:iCs/>
          <w:sz w:val="26"/>
          <w:szCs w:val="26"/>
          <w:lang w:val="vi-VN"/>
        </w:rPr>
        <w:t>“Giấy chứng nhận không có tiền án tiền sự”</w:t>
      </w:r>
      <w:r w:rsidR="005C26FE" w:rsidRPr="005C26FE">
        <w:rPr>
          <w:rFonts w:ascii="Times New Roman" w:hAnsi="Times New Roman" w:cs="Times New Roman"/>
          <w:sz w:val="26"/>
          <w:szCs w:val="26"/>
          <w:lang w:val="vi-VN"/>
        </w:rPr>
        <w:t>.</w:t>
      </w:r>
      <w:r w:rsidR="00AB5CF0" w:rsidRPr="00AB5CF0">
        <w:rPr>
          <w:rFonts w:ascii="Times New Roman" w:hAnsi="Times New Roman" w:cs="Times New Roman"/>
          <w:sz w:val="26"/>
          <w:szCs w:val="26"/>
          <w:lang w:val="vi-VN"/>
        </w:rPr>
        <w:t xml:space="preserve"> </w:t>
      </w:r>
      <w:r w:rsidR="005C26FE" w:rsidRPr="005C26FE">
        <w:rPr>
          <w:rFonts w:ascii="Times New Roman" w:hAnsi="Times New Roman" w:cs="Times New Roman"/>
          <w:sz w:val="26"/>
          <w:szCs w:val="26"/>
          <w:lang w:val="vi-VN"/>
        </w:rPr>
        <w:t xml:space="preserve">Đối với đơn vị điều tra, nếu đối tượng điều tra có án tích nhưng vào thời điểm phạm tội chưa đủ 18 tuổi và bị kết án phạt tù dưới 5 năm thì đơn vị tiếp nhận ra </w:t>
      </w:r>
      <w:r w:rsidR="005C26FE" w:rsidRPr="00AB5CF0">
        <w:rPr>
          <w:rFonts w:ascii="Times New Roman" w:hAnsi="Times New Roman" w:cs="Times New Roman"/>
          <w:i/>
          <w:iCs/>
          <w:sz w:val="26"/>
          <w:szCs w:val="26"/>
          <w:lang w:val="vi-VN"/>
        </w:rPr>
        <w:t>“Phiếu thông báo điều tra”</w:t>
      </w:r>
      <w:r w:rsidR="005C26FE" w:rsidRPr="005C26FE">
        <w:rPr>
          <w:rFonts w:ascii="Times New Roman" w:hAnsi="Times New Roman" w:cs="Times New Roman"/>
          <w:sz w:val="26"/>
          <w:szCs w:val="26"/>
          <w:lang w:val="vi-VN"/>
        </w:rPr>
        <w:t xml:space="preserve"> và nêu rõ đối tượng điều tra không có tiền án tiền sự.</w:t>
      </w:r>
    </w:p>
    <w:p w14:paraId="35098B80" w14:textId="1F7DE9DA" w:rsidR="00DE745E" w:rsidRDefault="00367BB8" w:rsidP="00AB5CF0">
      <w:pPr>
        <w:spacing w:before="120" w:after="0" w:line="240" w:lineRule="auto"/>
        <w:ind w:firstLine="709"/>
        <w:jc w:val="both"/>
        <w:rPr>
          <w:rFonts w:ascii="Times New Roman" w:hAnsi="Times New Roman" w:cs="Times New Roman"/>
          <w:sz w:val="26"/>
          <w:szCs w:val="26"/>
          <w:lang w:val="vi-VN"/>
        </w:rPr>
      </w:pPr>
      <w:r w:rsidRPr="00D93071">
        <w:rPr>
          <w:rFonts w:ascii="Times New Roman" w:hAnsi="Times New Roman" w:cs="Times New Roman"/>
          <w:i/>
          <w:iCs/>
          <w:sz w:val="26"/>
          <w:szCs w:val="26"/>
          <w:lang w:val="vi-VN"/>
        </w:rPr>
        <w:t>"Biện pháp thực hiện niêm phong hồ sơ tội phạm vị thành niên"</w:t>
      </w:r>
      <w:r w:rsidR="00EF1BFF" w:rsidRPr="00EF1BFF">
        <w:rPr>
          <w:rFonts w:ascii="Times New Roman" w:hAnsi="Times New Roman" w:cs="Times New Roman"/>
          <w:sz w:val="26"/>
          <w:szCs w:val="26"/>
          <w:lang w:val="vi-VN"/>
        </w:rPr>
        <w:t xml:space="preserve"> </w:t>
      </w:r>
      <w:r w:rsidR="00986FBC" w:rsidRPr="00986FBC">
        <w:rPr>
          <w:rFonts w:ascii="Times New Roman" w:hAnsi="Times New Roman" w:cs="Times New Roman"/>
          <w:sz w:val="26"/>
          <w:szCs w:val="26"/>
          <w:lang w:val="vi-VN"/>
        </w:rPr>
        <w:t>n</w:t>
      </w:r>
      <w:r w:rsidR="00986FBC" w:rsidRPr="00D93071">
        <w:rPr>
          <w:rFonts w:ascii="Times New Roman" w:hAnsi="Times New Roman" w:cs="Times New Roman"/>
          <w:sz w:val="26"/>
          <w:szCs w:val="26"/>
          <w:lang w:val="vi-VN"/>
        </w:rPr>
        <w:t xml:space="preserve">gày 24/05/2022, </w:t>
      </w:r>
      <w:r w:rsidR="00C0797D" w:rsidRPr="00C0797D">
        <w:rPr>
          <w:rFonts w:ascii="Times New Roman" w:hAnsi="Times New Roman" w:cs="Times New Roman"/>
          <w:sz w:val="26"/>
          <w:szCs w:val="26"/>
          <w:lang w:val="vi-VN"/>
        </w:rPr>
        <w:t xml:space="preserve">do </w:t>
      </w:r>
      <w:r w:rsidR="00EF1BFF" w:rsidRPr="00D93071">
        <w:rPr>
          <w:rFonts w:ascii="Times New Roman" w:hAnsi="Times New Roman" w:cs="Times New Roman"/>
          <w:sz w:val="26"/>
          <w:szCs w:val="26"/>
          <w:lang w:val="vi-VN"/>
        </w:rPr>
        <w:t>Tòa án nhân dân tối cao, Viện kiểm sát nhân dân tối cao, Bộ công an, Bộ tư pháp</w:t>
      </w:r>
      <w:r w:rsidR="00C0797D" w:rsidRPr="00C0797D">
        <w:rPr>
          <w:rFonts w:ascii="Times New Roman" w:hAnsi="Times New Roman" w:cs="Times New Roman"/>
          <w:sz w:val="26"/>
          <w:szCs w:val="26"/>
          <w:lang w:val="vi-VN"/>
        </w:rPr>
        <w:t xml:space="preserve"> Trung Quốc</w:t>
      </w:r>
      <w:r w:rsidR="00EF1BFF" w:rsidRPr="00D93071">
        <w:rPr>
          <w:rFonts w:ascii="Times New Roman" w:hAnsi="Times New Roman" w:cs="Times New Roman"/>
          <w:sz w:val="26"/>
          <w:szCs w:val="26"/>
          <w:lang w:val="vi-VN"/>
        </w:rPr>
        <w:t xml:space="preserve"> ban hành</w:t>
      </w:r>
      <w:r w:rsidR="008F3D01" w:rsidRPr="008F3D01">
        <w:rPr>
          <w:rFonts w:ascii="Times New Roman" w:hAnsi="Times New Roman" w:cs="Times New Roman"/>
          <w:sz w:val="26"/>
          <w:szCs w:val="26"/>
          <w:lang w:val="vi-VN"/>
        </w:rPr>
        <w:t xml:space="preserve"> cũng có nhiều nội dung hướng dẫn </w:t>
      </w:r>
      <w:r w:rsidR="00A53D7F" w:rsidRPr="00A53D7F">
        <w:rPr>
          <w:rFonts w:ascii="Times New Roman" w:hAnsi="Times New Roman" w:cs="Times New Roman"/>
          <w:sz w:val="26"/>
          <w:szCs w:val="26"/>
          <w:lang w:val="vi-VN"/>
        </w:rPr>
        <w:t>niêm phong đối với lý lịch tư pháp của người chưa thành niên, khái quát ở một số điểm như sau:</w:t>
      </w:r>
    </w:p>
    <w:p w14:paraId="0B17B885" w14:textId="2FECCD76" w:rsidR="00A65C92" w:rsidRDefault="00A65C92" w:rsidP="00A65C92">
      <w:pPr>
        <w:spacing w:before="120" w:after="0" w:line="240" w:lineRule="auto"/>
        <w:ind w:firstLine="709"/>
        <w:jc w:val="both"/>
        <w:rPr>
          <w:rFonts w:ascii="Times New Roman" w:hAnsi="Times New Roman" w:cs="Times New Roman"/>
          <w:sz w:val="26"/>
          <w:szCs w:val="26"/>
          <w:lang w:val="vi-VN"/>
        </w:rPr>
      </w:pPr>
      <w:r w:rsidRPr="00A65C92">
        <w:rPr>
          <w:rFonts w:ascii="Times New Roman" w:hAnsi="Times New Roman" w:cs="Times New Roman"/>
          <w:sz w:val="26"/>
          <w:szCs w:val="26"/>
          <w:lang w:val="vi-VN"/>
        </w:rPr>
        <w:t>-</w:t>
      </w:r>
      <w:r>
        <w:rPr>
          <w:rFonts w:ascii="Times New Roman" w:hAnsi="Times New Roman" w:cs="Times New Roman"/>
          <w:sz w:val="26"/>
          <w:szCs w:val="26"/>
          <w:lang w:val="vi-VN"/>
        </w:rPr>
        <w:t xml:space="preserve"> </w:t>
      </w:r>
      <w:r w:rsidR="00470B32" w:rsidRPr="00F27C50">
        <w:rPr>
          <w:rFonts w:ascii="Times New Roman" w:hAnsi="Times New Roman" w:cs="Times New Roman"/>
          <w:sz w:val="26"/>
          <w:szCs w:val="26"/>
          <w:lang w:val="vi-VN"/>
        </w:rPr>
        <w:t>Đối với người thực hiện nhiều hành vi trước và sau 18 tuổi, cấu thành một tội hoặc nhiều tội cùng bị xử lý và hành vi phạm tội chính được thực hiện trước khi đủ 18 tuổi thì bị kết án hoặc quyết định thi hành án, hình phạt không quá 5 năm tù, cũng như lý lịch của người chưa thành niên được miễn hình phạt, toàn bộ vụ án phải được niêm phong theo quy định của pháp luật.</w:t>
      </w:r>
      <w:r w:rsidR="00470B32" w:rsidRPr="00F27C50">
        <w:rPr>
          <w:lang w:val="vi-VN"/>
        </w:rPr>
        <w:t xml:space="preserve"> </w:t>
      </w:r>
      <w:r w:rsidR="00470B32" w:rsidRPr="00F27C50">
        <w:rPr>
          <w:rFonts w:ascii="Times New Roman" w:hAnsi="Times New Roman" w:cs="Times New Roman"/>
          <w:sz w:val="26"/>
          <w:szCs w:val="26"/>
          <w:lang w:val="vi-VN"/>
        </w:rPr>
        <w:t>Đối với những vụ án phạm tội chung giữa người chưa thành niên và người đã thành niên thì hồ sơ vụ án của người chưa thành niên cũng sẽ được xử lý riêng</w:t>
      </w:r>
      <w:r w:rsidR="00470B32" w:rsidRPr="00B7580B">
        <w:rPr>
          <w:rFonts w:ascii="Times New Roman" w:hAnsi="Times New Roman" w:cs="Times New Roman"/>
          <w:sz w:val="26"/>
          <w:szCs w:val="26"/>
          <w:lang w:val="vi-VN"/>
        </w:rPr>
        <w:t xml:space="preserve">, bìa hồ sơ vụ án phải ghi rõ: </w:t>
      </w:r>
      <w:r w:rsidR="00470B32" w:rsidRPr="00B7580B">
        <w:rPr>
          <w:rFonts w:ascii="Times New Roman" w:hAnsi="Times New Roman" w:cs="Times New Roman"/>
          <w:i/>
          <w:iCs/>
          <w:sz w:val="26"/>
          <w:szCs w:val="26"/>
          <w:lang w:val="vi-VN"/>
        </w:rPr>
        <w:t>"Có thông tin niêm phong lý lịch tư pháp"</w:t>
      </w:r>
      <w:r w:rsidR="00470B32" w:rsidRPr="00B7580B">
        <w:rPr>
          <w:rFonts w:ascii="Times New Roman" w:hAnsi="Times New Roman" w:cs="Times New Roman"/>
          <w:sz w:val="26"/>
          <w:szCs w:val="26"/>
          <w:lang w:val="vi-VN"/>
        </w:rPr>
        <w:t>.</w:t>
      </w:r>
    </w:p>
    <w:p w14:paraId="3C811342" w14:textId="505FED19" w:rsidR="00A53D7F" w:rsidRDefault="00840CD5" w:rsidP="00A65C92">
      <w:pPr>
        <w:spacing w:before="120" w:after="0" w:line="240" w:lineRule="auto"/>
        <w:ind w:firstLine="709"/>
        <w:jc w:val="both"/>
        <w:rPr>
          <w:rFonts w:ascii="Times New Roman" w:hAnsi="Times New Roman" w:cs="Times New Roman"/>
          <w:sz w:val="26"/>
          <w:szCs w:val="26"/>
          <w:lang w:val="vi-VN"/>
        </w:rPr>
      </w:pPr>
      <w:r w:rsidRPr="00840CD5">
        <w:rPr>
          <w:rFonts w:ascii="Times New Roman" w:hAnsi="Times New Roman" w:cs="Times New Roman"/>
          <w:sz w:val="26"/>
          <w:szCs w:val="26"/>
          <w:lang w:val="vi-VN"/>
        </w:rPr>
        <w:t xml:space="preserve">- </w:t>
      </w:r>
      <w:r w:rsidR="00A65C92" w:rsidRPr="00A65C92">
        <w:rPr>
          <w:rFonts w:ascii="Times New Roman" w:hAnsi="Times New Roman" w:cs="Times New Roman"/>
          <w:sz w:val="26"/>
          <w:szCs w:val="26"/>
          <w:lang w:val="vi-VN"/>
        </w:rPr>
        <w:t>Dữ liệu lý lịch tư pháp của người chưa thành niên cần niêm phong trong hệ thống thông tin điện tử thì phải bổ sung dấu niêm phong và không được thực hiện việc truy vấn, chia sẻ, sử dụng lại thông tin nếu không có thủ tục điều tra pháp luật. Dữ liệu hồ sơ tội phạm vị thành niên được niêm phong sẽ không được cung cấp hoặc kết nối với các nền tảng bên ngoài.</w:t>
      </w:r>
    </w:p>
    <w:p w14:paraId="14474E23" w14:textId="32C75DB6" w:rsidR="00A65C92" w:rsidRDefault="00A65C92" w:rsidP="00A65C92">
      <w:pPr>
        <w:spacing w:before="120" w:after="0" w:line="240" w:lineRule="auto"/>
        <w:ind w:firstLine="709"/>
        <w:jc w:val="both"/>
        <w:rPr>
          <w:rFonts w:ascii="Times New Roman" w:hAnsi="Times New Roman" w:cs="Times New Roman"/>
          <w:sz w:val="26"/>
          <w:szCs w:val="26"/>
          <w:lang w:val="vi-VN"/>
        </w:rPr>
      </w:pPr>
      <w:r w:rsidRPr="00A65C92">
        <w:rPr>
          <w:rFonts w:ascii="Times New Roman" w:hAnsi="Times New Roman" w:cs="Times New Roman"/>
          <w:sz w:val="26"/>
          <w:szCs w:val="26"/>
          <w:lang w:val="vi-VN"/>
        </w:rPr>
        <w:t xml:space="preserve">- Nếu TAND tuyên phạt bị cáo dưới 18 tuổi vào thời điểm phạm tội mức phạt tù có thời hạn không quá 5 năm và được miễn hình phạt theo quy định của pháp luật thì sau khi bản án trở thành có hiệu lực thi hành, bản án hình sự và </w:t>
      </w:r>
      <w:r w:rsidRPr="00A65C92">
        <w:rPr>
          <w:rFonts w:ascii="Times New Roman" w:hAnsi="Times New Roman" w:cs="Times New Roman"/>
          <w:i/>
          <w:iCs/>
          <w:sz w:val="26"/>
          <w:szCs w:val="26"/>
          <w:lang w:val="vi-VN"/>
        </w:rPr>
        <w:t>“Giấy thông báo niêm phong lý lịch tư pháp”</w:t>
      </w:r>
      <w:r w:rsidRPr="00A65C92">
        <w:rPr>
          <w:rFonts w:ascii="Times New Roman" w:hAnsi="Times New Roman" w:cs="Times New Roman"/>
          <w:sz w:val="26"/>
          <w:szCs w:val="26"/>
          <w:lang w:val="vi-VN"/>
        </w:rPr>
        <w:t xml:space="preserve"> phải được gửi cho bị cáo kịp thời, đến tay bị cáo, đồng thời tống đạt cho Viện kiểm sát nhân dân và Bộ Công an cùng cấp các tài liệu trên.</w:t>
      </w:r>
    </w:p>
    <w:p w14:paraId="2562D913" w14:textId="5593DC50" w:rsidR="00A65C92" w:rsidRDefault="00A65C92" w:rsidP="00A65C92">
      <w:pPr>
        <w:spacing w:before="120" w:after="0" w:line="240" w:lineRule="auto"/>
        <w:ind w:firstLine="709"/>
        <w:jc w:val="both"/>
        <w:rPr>
          <w:rFonts w:ascii="Times New Roman" w:hAnsi="Times New Roman" w:cs="Times New Roman"/>
          <w:sz w:val="26"/>
          <w:szCs w:val="26"/>
          <w:lang w:val="vi-VN"/>
        </w:rPr>
      </w:pPr>
      <w:r w:rsidRPr="00A65C92">
        <w:rPr>
          <w:rFonts w:ascii="Times New Roman" w:hAnsi="Times New Roman" w:cs="Times New Roman"/>
          <w:sz w:val="26"/>
          <w:szCs w:val="26"/>
          <w:lang w:val="vi-VN"/>
        </w:rPr>
        <w:t xml:space="preserve">- Để được phép điều tra lý lịch tư pháp đã được niêm phong của người chưa thành niên, đơn vị và cá nhân có liên quan điều tra lý lịch tư pháp phải được thông báo để sử dụng các thông tin liên quan theo đúng mục đích điều tra và phạm vi sử dụng, chấp hành nghiêm chỉnh các quy định nghĩa vụ bảo mật và yêu cầu họ ký giấy cam kết bảo mật. Nếu hồ sơ tội phạm </w:t>
      </w:r>
      <w:r w:rsidRPr="00A65C92">
        <w:rPr>
          <w:rFonts w:ascii="Times New Roman" w:hAnsi="Times New Roman" w:cs="Times New Roman"/>
          <w:sz w:val="26"/>
          <w:szCs w:val="26"/>
          <w:lang w:val="vi-VN"/>
        </w:rPr>
        <w:lastRenderedPageBreak/>
        <w:t>được điều tra không được sử dụng theo quy định hoặc thông tin liên quan bị rò rỉ trái quy định, có tình tiết nghiêm trọng hoặc gây hậu quả nghiêm trọng thì những người có liên quan phải chịu trách nhiệm theo quy định của pháp luật.</w:t>
      </w:r>
    </w:p>
    <w:p w14:paraId="2477D2CA" w14:textId="50FF47B9" w:rsidR="00A65C92" w:rsidRPr="001B1F77" w:rsidRDefault="00C3516A" w:rsidP="00A65C92">
      <w:pPr>
        <w:spacing w:before="120" w:after="0" w:line="240" w:lineRule="auto"/>
        <w:ind w:firstLine="709"/>
        <w:jc w:val="both"/>
        <w:rPr>
          <w:rFonts w:ascii="Times New Roman" w:hAnsi="Times New Roman" w:cs="Times New Roman"/>
          <w:sz w:val="26"/>
          <w:szCs w:val="26"/>
          <w:lang w:val="vi-VN"/>
        </w:rPr>
      </w:pPr>
      <w:r w:rsidRPr="00C3516A">
        <w:rPr>
          <w:rFonts w:ascii="Times New Roman" w:hAnsi="Times New Roman" w:cs="Times New Roman"/>
          <w:sz w:val="26"/>
          <w:szCs w:val="26"/>
          <w:lang w:val="vi-VN"/>
        </w:rPr>
        <w:t xml:space="preserve">Như vậy, không chỉ bảo mật thông tin của người chưa thành niên trong TTHS, sau quá trình TTHS, lý lịch tư pháp của người chưa thành niên cũng được niêm phong theo quy định pháp luật, bảo đảm </w:t>
      </w:r>
      <w:r w:rsidR="002E3769" w:rsidRPr="002E3769">
        <w:rPr>
          <w:rFonts w:ascii="Times New Roman" w:hAnsi="Times New Roman" w:cs="Times New Roman"/>
          <w:sz w:val="26"/>
          <w:szCs w:val="26"/>
          <w:lang w:val="vi-VN"/>
        </w:rPr>
        <w:t>không rò rỉ thông tin</w:t>
      </w:r>
      <w:r w:rsidR="00F65B94" w:rsidRPr="00F65B94">
        <w:rPr>
          <w:rFonts w:ascii="Times New Roman" w:hAnsi="Times New Roman" w:cs="Times New Roman"/>
          <w:sz w:val="26"/>
          <w:szCs w:val="26"/>
          <w:lang w:val="vi-VN"/>
        </w:rPr>
        <w:t xml:space="preserve">, bảo vệ tối đa </w:t>
      </w:r>
      <w:r w:rsidR="001B1F77" w:rsidRPr="001B1F77">
        <w:rPr>
          <w:rFonts w:ascii="Times New Roman" w:hAnsi="Times New Roman" w:cs="Times New Roman"/>
          <w:sz w:val="26"/>
          <w:szCs w:val="26"/>
          <w:lang w:val="vi-VN"/>
        </w:rPr>
        <w:t>quyền và lợi ích hợp pháp của người chưa thành niên phạm tội.</w:t>
      </w:r>
    </w:p>
    <w:p w14:paraId="274BBB6D" w14:textId="467E7159" w:rsidR="00BC6C66" w:rsidRPr="00087F99" w:rsidRDefault="00CD0104" w:rsidP="009A6717">
      <w:pPr>
        <w:spacing w:before="120" w:after="0" w:line="240" w:lineRule="auto"/>
        <w:ind w:firstLine="709"/>
        <w:jc w:val="both"/>
        <w:rPr>
          <w:rFonts w:ascii="Times New Roman" w:hAnsi="Times New Roman" w:cs="Times New Roman"/>
          <w:b/>
          <w:bCs/>
          <w:sz w:val="26"/>
          <w:szCs w:val="26"/>
          <w:lang w:val="vi-VN"/>
        </w:rPr>
      </w:pPr>
      <w:r w:rsidRPr="00CD0104">
        <w:rPr>
          <w:rFonts w:ascii="Times New Roman" w:hAnsi="Times New Roman" w:cs="Times New Roman"/>
          <w:b/>
          <w:bCs/>
          <w:sz w:val="26"/>
          <w:szCs w:val="26"/>
          <w:lang w:val="vi-VN"/>
        </w:rPr>
        <w:t>3</w:t>
      </w:r>
      <w:r w:rsidR="00BC6C66" w:rsidRPr="00087F99">
        <w:rPr>
          <w:rFonts w:ascii="Times New Roman" w:hAnsi="Times New Roman" w:cs="Times New Roman"/>
          <w:b/>
          <w:bCs/>
          <w:sz w:val="26"/>
          <w:szCs w:val="26"/>
          <w:lang w:val="vi-VN"/>
        </w:rPr>
        <w:t xml:space="preserve">. </w:t>
      </w:r>
      <w:r w:rsidR="00E121FC" w:rsidRPr="00087F99">
        <w:rPr>
          <w:rFonts w:ascii="Times New Roman" w:hAnsi="Times New Roman" w:cs="Times New Roman"/>
          <w:b/>
          <w:bCs/>
          <w:sz w:val="26"/>
          <w:szCs w:val="26"/>
          <w:lang w:val="vi-VN"/>
        </w:rPr>
        <w:t>Một số gợi mở</w:t>
      </w:r>
      <w:r w:rsidR="0042328C" w:rsidRPr="00087F99">
        <w:rPr>
          <w:rFonts w:ascii="Times New Roman" w:hAnsi="Times New Roman" w:cs="Times New Roman"/>
          <w:b/>
          <w:bCs/>
          <w:sz w:val="26"/>
          <w:szCs w:val="26"/>
          <w:lang w:val="vi-VN"/>
        </w:rPr>
        <w:t xml:space="preserve"> cho pháp luật Tố tụng hình sự Việt Nam</w:t>
      </w:r>
    </w:p>
    <w:p w14:paraId="19060D2E" w14:textId="570342D2" w:rsidR="00FC5541" w:rsidRPr="00CD0104" w:rsidRDefault="00CD0104" w:rsidP="00BB56D5">
      <w:pPr>
        <w:spacing w:before="120" w:after="0" w:line="240" w:lineRule="auto"/>
        <w:ind w:firstLine="709"/>
        <w:jc w:val="both"/>
        <w:rPr>
          <w:rFonts w:ascii="Times New Roman" w:hAnsi="Times New Roman" w:cs="Times New Roman"/>
          <w:b/>
          <w:bCs/>
          <w:i/>
          <w:iCs/>
          <w:sz w:val="26"/>
          <w:szCs w:val="26"/>
          <w:lang w:val="vi-VN"/>
        </w:rPr>
      </w:pPr>
      <w:r w:rsidRPr="00CD0104">
        <w:rPr>
          <w:rFonts w:ascii="Times New Roman" w:hAnsi="Times New Roman" w:cs="Times New Roman"/>
          <w:b/>
          <w:bCs/>
          <w:i/>
          <w:iCs/>
          <w:sz w:val="26"/>
          <w:szCs w:val="26"/>
          <w:lang w:val="vi-VN"/>
        </w:rPr>
        <w:t>3.</w:t>
      </w:r>
      <w:r w:rsidR="00A77365" w:rsidRPr="00CD0104">
        <w:rPr>
          <w:rFonts w:ascii="Times New Roman" w:hAnsi="Times New Roman" w:cs="Times New Roman"/>
          <w:b/>
          <w:bCs/>
          <w:i/>
          <w:iCs/>
          <w:sz w:val="26"/>
          <w:szCs w:val="26"/>
          <w:lang w:val="vi-VN"/>
        </w:rPr>
        <w:t xml:space="preserve">1. </w:t>
      </w:r>
      <w:r w:rsidR="00BB56D5" w:rsidRPr="00CD0104">
        <w:rPr>
          <w:rFonts w:ascii="Times New Roman" w:hAnsi="Times New Roman" w:cs="Times New Roman"/>
          <w:b/>
          <w:bCs/>
          <w:i/>
          <w:iCs/>
          <w:sz w:val="26"/>
          <w:szCs w:val="26"/>
          <w:lang w:val="vi-VN"/>
        </w:rPr>
        <w:t xml:space="preserve">Nghiên cứu áp dụng </w:t>
      </w:r>
      <w:r w:rsidR="002D7DD4" w:rsidRPr="00CD0104">
        <w:rPr>
          <w:rFonts w:ascii="Times New Roman" w:hAnsi="Times New Roman" w:cs="Times New Roman"/>
          <w:b/>
          <w:bCs/>
          <w:i/>
          <w:iCs/>
          <w:sz w:val="26"/>
          <w:szCs w:val="26"/>
          <w:lang w:val="vi-VN"/>
        </w:rPr>
        <w:t>quy định về</w:t>
      </w:r>
      <w:r w:rsidR="00BB56D5" w:rsidRPr="00CD0104">
        <w:rPr>
          <w:rFonts w:ascii="Times New Roman" w:hAnsi="Times New Roman" w:cs="Times New Roman"/>
          <w:b/>
          <w:bCs/>
          <w:i/>
          <w:iCs/>
          <w:sz w:val="26"/>
          <w:szCs w:val="26"/>
          <w:lang w:val="vi-VN"/>
        </w:rPr>
        <w:t xml:space="preserve"> </w:t>
      </w:r>
      <w:r w:rsidR="005B3D5E" w:rsidRPr="00CD0104">
        <w:rPr>
          <w:rFonts w:ascii="Times New Roman" w:hAnsi="Times New Roman" w:cs="Times New Roman"/>
          <w:b/>
          <w:bCs/>
          <w:i/>
          <w:iCs/>
          <w:sz w:val="26"/>
          <w:szCs w:val="26"/>
          <w:lang w:val="vi-VN"/>
        </w:rPr>
        <w:t>"</w:t>
      </w:r>
      <w:r w:rsidR="00BB56D5" w:rsidRPr="00CD0104">
        <w:rPr>
          <w:rFonts w:ascii="Times New Roman" w:hAnsi="Times New Roman" w:cs="Times New Roman"/>
          <w:b/>
          <w:bCs/>
          <w:i/>
          <w:iCs/>
          <w:sz w:val="26"/>
          <w:szCs w:val="26"/>
          <w:lang w:val="vi-VN"/>
        </w:rPr>
        <w:t>Luật sư trực</w:t>
      </w:r>
      <w:r w:rsidR="005B3D5E" w:rsidRPr="00CD0104">
        <w:rPr>
          <w:rFonts w:ascii="Times New Roman" w:hAnsi="Times New Roman" w:cs="Times New Roman"/>
          <w:b/>
          <w:bCs/>
          <w:i/>
          <w:iCs/>
          <w:sz w:val="26"/>
          <w:szCs w:val="26"/>
          <w:lang w:val="vi-VN"/>
        </w:rPr>
        <w:t>" tại cơ quan điều tra.</w:t>
      </w:r>
    </w:p>
    <w:p w14:paraId="0812EA9E" w14:textId="14DB984C" w:rsidR="00595067" w:rsidRDefault="00E15679" w:rsidP="00BB56D5">
      <w:pPr>
        <w:spacing w:before="120" w:after="0" w:line="240" w:lineRule="auto"/>
        <w:ind w:firstLine="709"/>
        <w:jc w:val="both"/>
        <w:rPr>
          <w:rFonts w:ascii="Times New Roman" w:hAnsi="Times New Roman" w:cs="Times New Roman"/>
          <w:sz w:val="26"/>
          <w:szCs w:val="26"/>
          <w:lang w:val="vi-VN"/>
        </w:rPr>
      </w:pPr>
      <w:r w:rsidRPr="00E15679">
        <w:rPr>
          <w:rFonts w:ascii="Times New Roman" w:hAnsi="Times New Roman" w:cs="Times New Roman"/>
          <w:sz w:val="26"/>
          <w:szCs w:val="26"/>
          <w:lang w:val="vi-VN"/>
        </w:rPr>
        <w:t xml:space="preserve">Nhu cầu </w:t>
      </w:r>
      <w:r w:rsidR="0078089D" w:rsidRPr="0078089D">
        <w:rPr>
          <w:rFonts w:ascii="Times New Roman" w:hAnsi="Times New Roman" w:cs="Times New Roman"/>
          <w:sz w:val="26"/>
          <w:szCs w:val="26"/>
          <w:lang w:val="vi-VN"/>
        </w:rPr>
        <w:t xml:space="preserve">được </w:t>
      </w:r>
      <w:r w:rsidRPr="00E15679">
        <w:rPr>
          <w:rFonts w:ascii="Times New Roman" w:hAnsi="Times New Roman" w:cs="Times New Roman"/>
          <w:sz w:val="26"/>
          <w:szCs w:val="26"/>
          <w:lang w:val="vi-VN"/>
        </w:rPr>
        <w:t xml:space="preserve">bào chữa </w:t>
      </w:r>
      <w:r w:rsidR="00A0216E" w:rsidRPr="00A0216E">
        <w:rPr>
          <w:rFonts w:ascii="Times New Roman" w:hAnsi="Times New Roman" w:cs="Times New Roman"/>
          <w:sz w:val="26"/>
          <w:szCs w:val="26"/>
          <w:lang w:val="vi-VN"/>
        </w:rPr>
        <w:t>của người bị buộc tội nói chung và người bị buộc tội là ngư</w:t>
      </w:r>
      <w:r w:rsidR="006D3063" w:rsidRPr="0009493A">
        <w:rPr>
          <w:rFonts w:ascii="Times New Roman" w:hAnsi="Times New Roman" w:cs="Times New Roman"/>
          <w:sz w:val="26"/>
          <w:szCs w:val="26"/>
          <w:lang w:val="vi-VN"/>
        </w:rPr>
        <w:t>ờ</w:t>
      </w:r>
      <w:r w:rsidR="00A0216E" w:rsidRPr="00A0216E">
        <w:rPr>
          <w:rFonts w:ascii="Times New Roman" w:hAnsi="Times New Roman" w:cs="Times New Roman"/>
          <w:sz w:val="26"/>
          <w:szCs w:val="26"/>
          <w:lang w:val="vi-VN"/>
        </w:rPr>
        <w:t xml:space="preserve">i chưa thành niên nói riêng </w:t>
      </w:r>
      <w:r w:rsidR="0015692E" w:rsidRPr="0015692E">
        <w:rPr>
          <w:rFonts w:ascii="Times New Roman" w:hAnsi="Times New Roman" w:cs="Times New Roman"/>
          <w:sz w:val="26"/>
          <w:szCs w:val="26"/>
          <w:lang w:val="vi-VN"/>
        </w:rPr>
        <w:t>phát sinh ngay từ thời điểm xảy ra sự kiện pháp lý</w:t>
      </w:r>
      <w:r w:rsidR="00730E92" w:rsidRPr="00730E92">
        <w:rPr>
          <w:rFonts w:ascii="Times New Roman" w:hAnsi="Times New Roman" w:cs="Times New Roman"/>
          <w:sz w:val="26"/>
          <w:szCs w:val="26"/>
          <w:lang w:val="vi-VN"/>
        </w:rPr>
        <w:t xml:space="preserve"> bị bắt, bị tạm giữ, tạm giam. </w:t>
      </w:r>
      <w:r w:rsidR="00F53AA1" w:rsidRPr="00F53AA1">
        <w:rPr>
          <w:rFonts w:ascii="Times New Roman" w:hAnsi="Times New Roman" w:cs="Times New Roman"/>
          <w:sz w:val="26"/>
          <w:szCs w:val="26"/>
          <w:lang w:val="vi-VN"/>
        </w:rPr>
        <w:t xml:space="preserve">Khi xảy ra các sự kiện này, người bị buộc tội </w:t>
      </w:r>
      <w:r w:rsidR="00CC1F93" w:rsidRPr="00CC1F93">
        <w:rPr>
          <w:rFonts w:ascii="Times New Roman" w:hAnsi="Times New Roman" w:cs="Times New Roman"/>
          <w:sz w:val="26"/>
          <w:szCs w:val="26"/>
          <w:lang w:val="vi-VN"/>
        </w:rPr>
        <w:t xml:space="preserve">đã tiềm ẩn những khả năng </w:t>
      </w:r>
      <w:r w:rsidR="00AA502D" w:rsidRPr="00AA502D">
        <w:rPr>
          <w:rFonts w:ascii="Times New Roman" w:hAnsi="Times New Roman" w:cs="Times New Roman"/>
          <w:sz w:val="26"/>
          <w:szCs w:val="26"/>
          <w:lang w:val="vi-VN"/>
        </w:rPr>
        <w:t>phát sinh</w:t>
      </w:r>
      <w:r w:rsidR="00CC1F93" w:rsidRPr="00CC1F93">
        <w:rPr>
          <w:rFonts w:ascii="Times New Roman" w:hAnsi="Times New Roman" w:cs="Times New Roman"/>
          <w:sz w:val="26"/>
          <w:szCs w:val="26"/>
          <w:lang w:val="vi-VN"/>
        </w:rPr>
        <w:t xml:space="preserve"> các trách nhiệm pháp</w:t>
      </w:r>
      <w:r w:rsidR="001C303B" w:rsidRPr="001C303B">
        <w:rPr>
          <w:rFonts w:ascii="Times New Roman" w:hAnsi="Times New Roman" w:cs="Times New Roman"/>
          <w:sz w:val="26"/>
          <w:szCs w:val="26"/>
          <w:lang w:val="vi-VN"/>
        </w:rPr>
        <w:t xml:space="preserve"> lý </w:t>
      </w:r>
      <w:r w:rsidR="007D0D59" w:rsidRPr="007D0D59">
        <w:rPr>
          <w:rFonts w:ascii="Times New Roman" w:hAnsi="Times New Roman" w:cs="Times New Roman"/>
          <w:sz w:val="26"/>
          <w:szCs w:val="26"/>
          <w:lang w:val="vi-VN"/>
        </w:rPr>
        <w:t>liên quan</w:t>
      </w:r>
      <w:r w:rsidR="00EA65DF" w:rsidRPr="00EA65DF">
        <w:rPr>
          <w:rFonts w:ascii="Times New Roman" w:hAnsi="Times New Roman" w:cs="Times New Roman"/>
          <w:sz w:val="26"/>
          <w:szCs w:val="26"/>
          <w:lang w:val="vi-VN"/>
        </w:rPr>
        <w:t xml:space="preserve">, các quyền và lợi ích hợp pháp có khả năng trực tiếp bị ảnh hưởng. Nếu chờ để thực hiện các thủ tục pháp lý liên quan đến </w:t>
      </w:r>
      <w:r w:rsidR="0097195A" w:rsidRPr="0097195A">
        <w:rPr>
          <w:rFonts w:ascii="Times New Roman" w:hAnsi="Times New Roman" w:cs="Times New Roman"/>
          <w:sz w:val="26"/>
          <w:szCs w:val="26"/>
          <w:lang w:val="vi-VN"/>
        </w:rPr>
        <w:t>bào chữa thì đã chậm trễ</w:t>
      </w:r>
      <w:r w:rsidR="0003508D" w:rsidRPr="0003508D">
        <w:rPr>
          <w:rFonts w:ascii="Times New Roman" w:hAnsi="Times New Roman" w:cs="Times New Roman"/>
          <w:sz w:val="26"/>
          <w:szCs w:val="26"/>
          <w:lang w:val="vi-VN"/>
        </w:rPr>
        <w:t xml:space="preserve"> về m</w:t>
      </w:r>
      <w:r w:rsidR="0003508D" w:rsidRPr="00AB5612">
        <w:rPr>
          <w:rFonts w:ascii="Times New Roman" w:hAnsi="Times New Roman" w:cs="Times New Roman"/>
          <w:sz w:val="26"/>
          <w:szCs w:val="26"/>
          <w:lang w:val="vi-VN"/>
        </w:rPr>
        <w:t>ặt</w:t>
      </w:r>
      <w:r w:rsidR="0097195A" w:rsidRPr="0097195A">
        <w:rPr>
          <w:rFonts w:ascii="Times New Roman" w:hAnsi="Times New Roman" w:cs="Times New Roman"/>
          <w:sz w:val="26"/>
          <w:szCs w:val="26"/>
          <w:lang w:val="vi-VN"/>
        </w:rPr>
        <w:t xml:space="preserve"> thời gian</w:t>
      </w:r>
      <w:r w:rsidR="0097195A" w:rsidRPr="0003508D">
        <w:rPr>
          <w:rFonts w:ascii="Times New Roman" w:hAnsi="Times New Roman" w:cs="Times New Roman"/>
          <w:sz w:val="26"/>
          <w:szCs w:val="26"/>
          <w:lang w:val="vi-VN"/>
        </w:rPr>
        <w:t>,</w:t>
      </w:r>
      <w:r w:rsidR="0097195A" w:rsidRPr="0097195A">
        <w:rPr>
          <w:rFonts w:ascii="Times New Roman" w:hAnsi="Times New Roman" w:cs="Times New Roman"/>
          <w:sz w:val="26"/>
          <w:szCs w:val="26"/>
          <w:lang w:val="vi-VN"/>
        </w:rPr>
        <w:t xml:space="preserve"> </w:t>
      </w:r>
      <w:r w:rsidR="00C51B6C" w:rsidRPr="00C51B6C">
        <w:rPr>
          <w:rFonts w:ascii="Times New Roman" w:hAnsi="Times New Roman" w:cs="Times New Roman"/>
          <w:sz w:val="26"/>
          <w:szCs w:val="26"/>
          <w:lang w:val="vi-VN"/>
        </w:rPr>
        <w:t xml:space="preserve">trong khi </w:t>
      </w:r>
      <w:r w:rsidR="00F440D8" w:rsidRPr="00F440D8">
        <w:rPr>
          <w:rFonts w:ascii="Times New Roman" w:hAnsi="Times New Roman" w:cs="Times New Roman"/>
          <w:sz w:val="26"/>
          <w:szCs w:val="26"/>
          <w:lang w:val="vi-VN"/>
        </w:rPr>
        <w:t xml:space="preserve">đó, </w:t>
      </w:r>
      <w:r w:rsidR="00513757" w:rsidRPr="00513757">
        <w:rPr>
          <w:rFonts w:ascii="Times New Roman" w:hAnsi="Times New Roman" w:cs="Times New Roman"/>
          <w:sz w:val="26"/>
          <w:szCs w:val="26"/>
          <w:lang w:val="vi-VN"/>
        </w:rPr>
        <w:t>bắt, tạm giữ, tạm giam</w:t>
      </w:r>
      <w:r w:rsidR="00F440D8" w:rsidRPr="00F440D8">
        <w:rPr>
          <w:rFonts w:ascii="Times New Roman" w:hAnsi="Times New Roman" w:cs="Times New Roman"/>
          <w:sz w:val="26"/>
          <w:szCs w:val="26"/>
          <w:lang w:val="vi-VN"/>
        </w:rPr>
        <w:t xml:space="preserve"> thuộc các trường hợp khẩn cấp</w:t>
      </w:r>
      <w:r w:rsidR="003709E4" w:rsidRPr="003709E4">
        <w:rPr>
          <w:rFonts w:ascii="Times New Roman" w:hAnsi="Times New Roman" w:cs="Times New Roman"/>
          <w:sz w:val="26"/>
          <w:szCs w:val="26"/>
          <w:lang w:val="vi-VN"/>
        </w:rPr>
        <w:t>,</w:t>
      </w:r>
      <w:r w:rsidR="00F440D8" w:rsidRPr="00F440D8">
        <w:rPr>
          <w:rFonts w:ascii="Times New Roman" w:hAnsi="Times New Roman" w:cs="Times New Roman"/>
          <w:sz w:val="26"/>
          <w:szCs w:val="26"/>
          <w:lang w:val="vi-VN"/>
        </w:rPr>
        <w:t xml:space="preserve"> </w:t>
      </w:r>
      <w:r w:rsidR="00C51B6C" w:rsidRPr="00C51B6C">
        <w:rPr>
          <w:rFonts w:ascii="Times New Roman" w:hAnsi="Times New Roman" w:cs="Times New Roman"/>
          <w:sz w:val="26"/>
          <w:szCs w:val="26"/>
          <w:lang w:val="vi-VN"/>
        </w:rPr>
        <w:t>quyền và lợi ích hợp pháp cần được bảo đảm nhanh chóng, kịp thời.</w:t>
      </w:r>
      <w:r w:rsidR="003709E4" w:rsidRPr="003709E4">
        <w:rPr>
          <w:rFonts w:ascii="Times New Roman" w:hAnsi="Times New Roman" w:cs="Times New Roman"/>
          <w:sz w:val="26"/>
          <w:szCs w:val="26"/>
          <w:lang w:val="vi-VN"/>
        </w:rPr>
        <w:t xml:space="preserve"> Chính vì lẽ đó, việc bố trí </w:t>
      </w:r>
      <w:r w:rsidR="00847A06" w:rsidRPr="00E9309A">
        <w:rPr>
          <w:rFonts w:ascii="Times New Roman" w:hAnsi="Times New Roman" w:cs="Times New Roman"/>
          <w:i/>
          <w:iCs/>
          <w:sz w:val="26"/>
          <w:szCs w:val="26"/>
          <w:lang w:val="vi-VN"/>
        </w:rPr>
        <w:t>"</w:t>
      </w:r>
      <w:r w:rsidR="003709E4" w:rsidRPr="00E9309A">
        <w:rPr>
          <w:rFonts w:ascii="Times New Roman" w:hAnsi="Times New Roman" w:cs="Times New Roman"/>
          <w:i/>
          <w:iCs/>
          <w:sz w:val="26"/>
          <w:szCs w:val="26"/>
          <w:lang w:val="vi-VN"/>
        </w:rPr>
        <w:t>Luật sư trực</w:t>
      </w:r>
      <w:r w:rsidR="00847A06" w:rsidRPr="00E9309A">
        <w:rPr>
          <w:rFonts w:ascii="Times New Roman" w:hAnsi="Times New Roman" w:cs="Times New Roman"/>
          <w:i/>
          <w:iCs/>
          <w:sz w:val="26"/>
          <w:szCs w:val="26"/>
          <w:lang w:val="vi-VN"/>
        </w:rPr>
        <w:t>"</w:t>
      </w:r>
      <w:r w:rsidR="003709E4" w:rsidRPr="003709E4">
        <w:rPr>
          <w:rFonts w:ascii="Times New Roman" w:hAnsi="Times New Roman" w:cs="Times New Roman"/>
          <w:sz w:val="26"/>
          <w:szCs w:val="26"/>
          <w:lang w:val="vi-VN"/>
        </w:rPr>
        <w:t xml:space="preserve"> tại cơ quan điều tra là </w:t>
      </w:r>
      <w:r w:rsidR="00F455F3" w:rsidRPr="00F455F3">
        <w:rPr>
          <w:rFonts w:ascii="Times New Roman" w:hAnsi="Times New Roman" w:cs="Times New Roman"/>
          <w:sz w:val="26"/>
          <w:szCs w:val="26"/>
          <w:lang w:val="vi-VN"/>
        </w:rPr>
        <w:t xml:space="preserve">một trong những </w:t>
      </w:r>
      <w:r w:rsidR="00B71B30" w:rsidRPr="00B71B30">
        <w:rPr>
          <w:rFonts w:ascii="Times New Roman" w:hAnsi="Times New Roman" w:cs="Times New Roman"/>
          <w:sz w:val="26"/>
          <w:szCs w:val="26"/>
          <w:lang w:val="vi-VN"/>
        </w:rPr>
        <w:t xml:space="preserve">quy </w:t>
      </w:r>
      <w:r w:rsidR="00602383" w:rsidRPr="00602383">
        <w:rPr>
          <w:rFonts w:ascii="Times New Roman" w:hAnsi="Times New Roman" w:cs="Times New Roman"/>
          <w:sz w:val="26"/>
          <w:szCs w:val="26"/>
          <w:lang w:val="vi-VN"/>
        </w:rPr>
        <w:t>định</w:t>
      </w:r>
      <w:r w:rsidR="0023182C" w:rsidRPr="0023182C">
        <w:rPr>
          <w:rFonts w:ascii="Times New Roman" w:hAnsi="Times New Roman" w:cs="Times New Roman"/>
          <w:sz w:val="26"/>
          <w:szCs w:val="26"/>
          <w:lang w:val="vi-VN"/>
        </w:rPr>
        <w:t xml:space="preserve"> </w:t>
      </w:r>
      <w:r w:rsidR="00485F46" w:rsidRPr="00485F46">
        <w:rPr>
          <w:rFonts w:ascii="Times New Roman" w:hAnsi="Times New Roman" w:cs="Times New Roman"/>
          <w:sz w:val="26"/>
          <w:szCs w:val="26"/>
          <w:lang w:val="vi-VN"/>
        </w:rPr>
        <w:t>cần thiết để bảo vệ kịp thời các quyền và lợi ích hợp pháp của người chưa thành niên bị buộc tội.</w:t>
      </w:r>
    </w:p>
    <w:p w14:paraId="328E7F9C" w14:textId="55D8EA90" w:rsidR="009C3171" w:rsidRPr="00AB196A" w:rsidRDefault="009C3171" w:rsidP="00D43F4B">
      <w:pPr>
        <w:spacing w:before="120" w:after="0" w:line="240" w:lineRule="auto"/>
        <w:ind w:firstLine="709"/>
        <w:jc w:val="both"/>
        <w:rPr>
          <w:rFonts w:ascii="Times New Roman" w:hAnsi="Times New Roman" w:cs="Times New Roman"/>
          <w:sz w:val="26"/>
          <w:szCs w:val="26"/>
          <w:lang w:val="vi-VN"/>
        </w:rPr>
      </w:pPr>
      <w:r w:rsidRPr="009C3171">
        <w:rPr>
          <w:rFonts w:ascii="Times New Roman" w:hAnsi="Times New Roman" w:cs="Times New Roman"/>
          <w:sz w:val="26"/>
          <w:szCs w:val="26"/>
          <w:lang w:val="vi-VN"/>
        </w:rPr>
        <w:t xml:space="preserve">Theo </w:t>
      </w:r>
      <w:r w:rsidR="00E90DE0" w:rsidRPr="00872C58">
        <w:rPr>
          <w:rFonts w:ascii="Times New Roman" w:hAnsi="Times New Roman" w:cs="Times New Roman"/>
          <w:sz w:val="26"/>
          <w:szCs w:val="26"/>
          <w:lang w:val="vi-VN"/>
        </w:rPr>
        <w:t>pháp luật</w:t>
      </w:r>
      <w:r w:rsidRPr="009C3171">
        <w:rPr>
          <w:rFonts w:ascii="Times New Roman" w:hAnsi="Times New Roman" w:cs="Times New Roman"/>
          <w:sz w:val="26"/>
          <w:szCs w:val="26"/>
          <w:lang w:val="vi-VN"/>
        </w:rPr>
        <w:t xml:space="preserve"> TTHS của Việt Nam hiện hành, chúng ta chưa </w:t>
      </w:r>
      <w:r w:rsidR="00872C58" w:rsidRPr="00872C58">
        <w:rPr>
          <w:rFonts w:ascii="Times New Roman" w:hAnsi="Times New Roman" w:cs="Times New Roman"/>
          <w:sz w:val="26"/>
          <w:szCs w:val="26"/>
          <w:lang w:val="vi-VN"/>
        </w:rPr>
        <w:t>có quy định về việc bố trí</w:t>
      </w:r>
      <w:r w:rsidR="007F72C0" w:rsidRPr="005E1ADE">
        <w:rPr>
          <w:rFonts w:ascii="Times New Roman" w:hAnsi="Times New Roman" w:cs="Times New Roman"/>
          <w:sz w:val="26"/>
          <w:szCs w:val="26"/>
          <w:lang w:val="vi-VN"/>
        </w:rPr>
        <w:t xml:space="preserve"> Luật sư</w:t>
      </w:r>
      <w:r w:rsidR="00893357" w:rsidRPr="00893357">
        <w:rPr>
          <w:rFonts w:ascii="Times New Roman" w:hAnsi="Times New Roman" w:cs="Times New Roman"/>
          <w:sz w:val="26"/>
          <w:szCs w:val="26"/>
          <w:lang w:val="vi-VN"/>
        </w:rPr>
        <w:t xml:space="preserve"> trực tại cơ quan điều tra để trợ giúp pháp lý cho người chưa thành niên nói riêng cũng như các đối tượng trợ giúp pháp lý khác nói chung.</w:t>
      </w:r>
      <w:r w:rsidR="00376591" w:rsidRPr="00376591">
        <w:rPr>
          <w:rFonts w:ascii="Times New Roman" w:hAnsi="Times New Roman" w:cs="Times New Roman"/>
          <w:sz w:val="26"/>
          <w:szCs w:val="26"/>
          <w:lang w:val="vi-VN"/>
        </w:rPr>
        <w:t xml:space="preserve"> </w:t>
      </w:r>
      <w:r w:rsidR="00AE1F0D" w:rsidRPr="00774D13">
        <w:rPr>
          <w:rFonts w:ascii="Times New Roman" w:hAnsi="Times New Roman" w:cs="Times New Roman"/>
          <w:sz w:val="26"/>
          <w:szCs w:val="26"/>
          <w:lang w:val="vi-VN"/>
        </w:rPr>
        <w:t>Một phần do điều kiện</w:t>
      </w:r>
      <w:r w:rsidR="007C215C" w:rsidRPr="007C215C">
        <w:rPr>
          <w:rFonts w:ascii="Times New Roman" w:hAnsi="Times New Roman" w:cs="Times New Roman"/>
          <w:sz w:val="26"/>
          <w:szCs w:val="26"/>
          <w:lang w:val="vi-VN"/>
        </w:rPr>
        <w:t xml:space="preserve"> số lượng</w:t>
      </w:r>
      <w:r w:rsidR="00AE1F0D" w:rsidRPr="00774D13">
        <w:rPr>
          <w:rFonts w:ascii="Times New Roman" w:hAnsi="Times New Roman" w:cs="Times New Roman"/>
          <w:sz w:val="26"/>
          <w:szCs w:val="26"/>
          <w:lang w:val="vi-VN"/>
        </w:rPr>
        <w:t xml:space="preserve"> Luật sư </w:t>
      </w:r>
      <w:r w:rsidR="00774D13" w:rsidRPr="00774D13">
        <w:rPr>
          <w:rFonts w:ascii="Times New Roman" w:hAnsi="Times New Roman" w:cs="Times New Roman"/>
          <w:sz w:val="26"/>
          <w:szCs w:val="26"/>
          <w:lang w:val="vi-VN"/>
        </w:rPr>
        <w:t xml:space="preserve">hiện tại của nước ta </w:t>
      </w:r>
      <w:r w:rsidR="00166649" w:rsidRPr="00166649">
        <w:rPr>
          <w:rFonts w:ascii="Times New Roman" w:hAnsi="Times New Roman" w:cs="Times New Roman"/>
          <w:sz w:val="26"/>
          <w:szCs w:val="26"/>
          <w:lang w:val="vi-VN"/>
        </w:rPr>
        <w:t>phân bố không đồng đều ở các tỉnh thành</w:t>
      </w:r>
      <w:r w:rsidR="002E0B23" w:rsidRPr="002E0B23">
        <w:rPr>
          <w:rFonts w:ascii="Times New Roman" w:hAnsi="Times New Roman" w:cs="Times New Roman"/>
          <w:sz w:val="26"/>
          <w:szCs w:val="26"/>
          <w:lang w:val="vi-VN"/>
        </w:rPr>
        <w:t xml:space="preserve">, chủ yếu tập trung ở các thành </w:t>
      </w:r>
      <w:r w:rsidR="00D53AB7" w:rsidRPr="00D53AB7">
        <w:rPr>
          <w:rFonts w:ascii="Times New Roman" w:hAnsi="Times New Roman" w:cs="Times New Roman"/>
          <w:sz w:val="26"/>
          <w:szCs w:val="26"/>
          <w:lang w:val="vi-VN"/>
        </w:rPr>
        <w:t>phố lớn như Hà Nội, Thành phố Hồ Chí Minh, Thành phố Đà Nẵng</w:t>
      </w:r>
      <w:r w:rsidR="00010309">
        <w:rPr>
          <w:rFonts w:ascii="Times New Roman" w:hAnsi="Times New Roman" w:cs="Times New Roman"/>
          <w:sz w:val="26"/>
          <w:szCs w:val="26"/>
          <w:lang w:val="vi-VN"/>
        </w:rPr>
        <w:t>…</w:t>
      </w:r>
      <w:r w:rsidR="00010309" w:rsidRPr="00010309">
        <w:rPr>
          <w:rFonts w:ascii="Times New Roman" w:hAnsi="Times New Roman" w:cs="Times New Roman"/>
          <w:sz w:val="26"/>
          <w:szCs w:val="26"/>
          <w:lang w:val="vi-VN"/>
        </w:rPr>
        <w:t xml:space="preserve">, </w:t>
      </w:r>
      <w:r w:rsidR="00D43F4B" w:rsidRPr="00D43F4B">
        <w:rPr>
          <w:rFonts w:ascii="Times New Roman" w:hAnsi="Times New Roman" w:cs="Times New Roman"/>
          <w:sz w:val="26"/>
          <w:szCs w:val="26"/>
          <w:lang w:val="vi-VN"/>
        </w:rPr>
        <w:t>với số lượng luật sư đông đảo, các tỉnh thành lớn hoàn toàn có đủ điều kiện để áp dụng quy định này. C</w:t>
      </w:r>
      <w:r w:rsidR="00010309" w:rsidRPr="00010309">
        <w:rPr>
          <w:rFonts w:ascii="Times New Roman" w:hAnsi="Times New Roman" w:cs="Times New Roman"/>
          <w:sz w:val="26"/>
          <w:szCs w:val="26"/>
          <w:lang w:val="vi-VN"/>
        </w:rPr>
        <w:t>òn lại ở các địa phương khác</w:t>
      </w:r>
      <w:r w:rsidR="00D43F4B" w:rsidRPr="00D43F4B">
        <w:rPr>
          <w:rFonts w:ascii="Times New Roman" w:hAnsi="Times New Roman" w:cs="Times New Roman"/>
          <w:sz w:val="26"/>
          <w:szCs w:val="26"/>
          <w:lang w:val="vi-VN"/>
        </w:rPr>
        <w:t xml:space="preserve">, </w:t>
      </w:r>
      <w:r w:rsidR="00010309" w:rsidRPr="00010309">
        <w:rPr>
          <w:rFonts w:ascii="Times New Roman" w:hAnsi="Times New Roman" w:cs="Times New Roman"/>
          <w:sz w:val="26"/>
          <w:szCs w:val="26"/>
          <w:lang w:val="vi-VN"/>
        </w:rPr>
        <w:t xml:space="preserve">số lượng Luật sư tương đối ít, </w:t>
      </w:r>
      <w:r w:rsidR="00F40F47" w:rsidRPr="00F40F47">
        <w:rPr>
          <w:rFonts w:ascii="Times New Roman" w:hAnsi="Times New Roman" w:cs="Times New Roman"/>
          <w:sz w:val="26"/>
          <w:szCs w:val="26"/>
          <w:lang w:val="vi-VN"/>
        </w:rPr>
        <w:t>việc áp dụng quy định về Luật sư trực sẽ gặp khó khăn</w:t>
      </w:r>
      <w:r w:rsidR="009E5E23" w:rsidRPr="009E5E23">
        <w:rPr>
          <w:rFonts w:ascii="Times New Roman" w:hAnsi="Times New Roman" w:cs="Times New Roman"/>
          <w:sz w:val="26"/>
          <w:szCs w:val="26"/>
          <w:lang w:val="vi-VN"/>
        </w:rPr>
        <w:t xml:space="preserve"> về nguồn nhân l</w:t>
      </w:r>
      <w:r w:rsidR="009E5E23" w:rsidRPr="00B14B36">
        <w:rPr>
          <w:rFonts w:ascii="Times New Roman" w:hAnsi="Times New Roman" w:cs="Times New Roman"/>
          <w:sz w:val="26"/>
          <w:szCs w:val="26"/>
          <w:lang w:val="vi-VN"/>
        </w:rPr>
        <w:t>ực</w:t>
      </w:r>
      <w:r w:rsidR="00F40F47" w:rsidRPr="00F40F47">
        <w:rPr>
          <w:rFonts w:ascii="Times New Roman" w:hAnsi="Times New Roman" w:cs="Times New Roman"/>
          <w:sz w:val="26"/>
          <w:szCs w:val="26"/>
          <w:lang w:val="vi-VN"/>
        </w:rPr>
        <w:t>.</w:t>
      </w:r>
      <w:r w:rsidR="002B02D6" w:rsidRPr="002B02D6">
        <w:rPr>
          <w:rFonts w:ascii="Times New Roman" w:hAnsi="Times New Roman" w:cs="Times New Roman"/>
          <w:sz w:val="26"/>
          <w:szCs w:val="26"/>
          <w:lang w:val="vi-VN"/>
        </w:rPr>
        <w:t xml:space="preserve"> Để giải quyết vấn đề về nguồn nhân lực, có thể xem xét có </w:t>
      </w:r>
      <w:r w:rsidR="00AB76D7" w:rsidRPr="00AB76D7">
        <w:rPr>
          <w:rFonts w:ascii="Times New Roman" w:hAnsi="Times New Roman" w:cs="Times New Roman"/>
          <w:sz w:val="26"/>
          <w:szCs w:val="26"/>
          <w:lang w:val="vi-VN"/>
        </w:rPr>
        <w:t>cơ ch</w:t>
      </w:r>
      <w:r w:rsidR="00AB76D7" w:rsidRPr="00AB196A">
        <w:rPr>
          <w:rFonts w:ascii="Times New Roman" w:hAnsi="Times New Roman" w:cs="Times New Roman"/>
          <w:sz w:val="26"/>
          <w:szCs w:val="26"/>
          <w:lang w:val="vi-VN"/>
        </w:rPr>
        <w:t>ế</w:t>
      </w:r>
      <w:r w:rsidR="002B02D6" w:rsidRPr="002B02D6">
        <w:rPr>
          <w:rFonts w:ascii="Times New Roman" w:hAnsi="Times New Roman" w:cs="Times New Roman"/>
          <w:sz w:val="26"/>
          <w:szCs w:val="26"/>
          <w:lang w:val="vi-VN"/>
        </w:rPr>
        <w:t xml:space="preserve"> phân bổ nguồn lực hợp lý giữa các địa phương</w:t>
      </w:r>
      <w:r w:rsidR="00AB196A" w:rsidRPr="00AB196A">
        <w:rPr>
          <w:rFonts w:ascii="Times New Roman" w:hAnsi="Times New Roman" w:cs="Times New Roman"/>
          <w:sz w:val="26"/>
          <w:szCs w:val="26"/>
          <w:lang w:val="vi-VN"/>
        </w:rPr>
        <w:t xml:space="preserve">, đồng thời, bên cạnh việc hỗ trợ pháp lý trực tiếp, có thể áp dụng các hình thức trợ giúp pháp lý </w:t>
      </w:r>
      <w:r w:rsidR="00287B02" w:rsidRPr="00287B02">
        <w:rPr>
          <w:rFonts w:ascii="Times New Roman" w:hAnsi="Times New Roman" w:cs="Times New Roman"/>
          <w:sz w:val="26"/>
          <w:szCs w:val="26"/>
          <w:lang w:val="vi-VN"/>
        </w:rPr>
        <w:t xml:space="preserve">qua </w:t>
      </w:r>
      <w:r w:rsidR="00AB196A" w:rsidRPr="00AB196A">
        <w:rPr>
          <w:rFonts w:ascii="Times New Roman" w:hAnsi="Times New Roman" w:cs="Times New Roman"/>
          <w:sz w:val="26"/>
          <w:szCs w:val="26"/>
          <w:lang w:val="vi-VN"/>
        </w:rPr>
        <w:t>điện thoại hoặc trực tuyến.</w:t>
      </w:r>
    </w:p>
    <w:p w14:paraId="504D7A2F" w14:textId="0D91CD6B" w:rsidR="00010309" w:rsidRPr="00291B03" w:rsidRDefault="00DE1472" w:rsidP="00BB56D5">
      <w:pPr>
        <w:spacing w:before="120" w:after="0" w:line="240" w:lineRule="auto"/>
        <w:ind w:firstLine="709"/>
        <w:jc w:val="both"/>
        <w:rPr>
          <w:rFonts w:ascii="Times New Roman" w:hAnsi="Times New Roman" w:cs="Times New Roman"/>
          <w:sz w:val="26"/>
          <w:szCs w:val="26"/>
          <w:lang w:val="vi-VN"/>
        </w:rPr>
      </w:pPr>
      <w:r w:rsidRPr="00DE1472">
        <w:rPr>
          <w:rFonts w:ascii="Times New Roman" w:hAnsi="Times New Roman" w:cs="Times New Roman"/>
          <w:sz w:val="26"/>
          <w:szCs w:val="26"/>
          <w:lang w:val="vi-VN"/>
        </w:rPr>
        <w:t>Yếu tố chi phí cho Luật sư trực cũng cần được xem xét</w:t>
      </w:r>
      <w:r w:rsidR="0086117D" w:rsidRPr="0086117D">
        <w:rPr>
          <w:rFonts w:ascii="Times New Roman" w:hAnsi="Times New Roman" w:cs="Times New Roman"/>
          <w:sz w:val="26"/>
          <w:szCs w:val="26"/>
          <w:lang w:val="vi-VN"/>
        </w:rPr>
        <w:t>,</w:t>
      </w:r>
      <w:r w:rsidR="00456F0B" w:rsidRPr="00456F0B">
        <w:rPr>
          <w:rFonts w:ascii="Times New Roman" w:hAnsi="Times New Roman" w:cs="Times New Roman"/>
          <w:sz w:val="26"/>
          <w:szCs w:val="26"/>
          <w:lang w:val="vi-VN"/>
        </w:rPr>
        <w:t xml:space="preserve"> việc này sẽ làm tăng </w:t>
      </w:r>
      <w:r w:rsidR="008F2550" w:rsidRPr="008F2550">
        <w:rPr>
          <w:rFonts w:ascii="Times New Roman" w:hAnsi="Times New Roman" w:cs="Times New Roman"/>
          <w:sz w:val="26"/>
          <w:szCs w:val="26"/>
          <w:lang w:val="vi-VN"/>
        </w:rPr>
        <w:t xml:space="preserve">ngân sách nhà nước đối với hoạt động </w:t>
      </w:r>
      <w:r w:rsidR="000747F3" w:rsidRPr="000747F3">
        <w:rPr>
          <w:rFonts w:ascii="Times New Roman" w:hAnsi="Times New Roman" w:cs="Times New Roman"/>
          <w:sz w:val="26"/>
          <w:szCs w:val="26"/>
          <w:lang w:val="vi-VN"/>
        </w:rPr>
        <w:t>Trợ giúp pháp lý</w:t>
      </w:r>
      <w:r w:rsidR="00136803" w:rsidRPr="00136803">
        <w:rPr>
          <w:rFonts w:ascii="Times New Roman" w:hAnsi="Times New Roman" w:cs="Times New Roman"/>
          <w:sz w:val="26"/>
          <w:szCs w:val="26"/>
          <w:lang w:val="vi-VN"/>
        </w:rPr>
        <w:t xml:space="preserve">. Đồng thời, </w:t>
      </w:r>
      <w:r w:rsidR="00136803" w:rsidRPr="0086117D">
        <w:rPr>
          <w:rFonts w:ascii="Times New Roman" w:hAnsi="Times New Roman" w:cs="Times New Roman"/>
          <w:sz w:val="26"/>
          <w:szCs w:val="26"/>
          <w:lang w:val="vi-VN"/>
        </w:rPr>
        <w:t xml:space="preserve">cũng phải </w:t>
      </w:r>
      <w:r w:rsidR="00775BC3" w:rsidRPr="00775BC3">
        <w:rPr>
          <w:rFonts w:ascii="Times New Roman" w:hAnsi="Times New Roman" w:cs="Times New Roman"/>
          <w:sz w:val="26"/>
          <w:szCs w:val="26"/>
          <w:lang w:val="vi-VN"/>
        </w:rPr>
        <w:t>quy định cụ thể</w:t>
      </w:r>
      <w:r w:rsidR="00566393" w:rsidRPr="00566393">
        <w:rPr>
          <w:rFonts w:ascii="Times New Roman" w:hAnsi="Times New Roman" w:cs="Times New Roman"/>
          <w:sz w:val="26"/>
          <w:szCs w:val="26"/>
          <w:lang w:val="vi-VN"/>
        </w:rPr>
        <w:t xml:space="preserve"> cách thức đăng ký, phân bổ thời gian trực của các Luật sư.</w:t>
      </w:r>
      <w:r w:rsidR="0044416F" w:rsidRPr="0044416F">
        <w:rPr>
          <w:rFonts w:ascii="Times New Roman" w:hAnsi="Times New Roman" w:cs="Times New Roman"/>
          <w:sz w:val="26"/>
          <w:szCs w:val="26"/>
          <w:lang w:val="vi-VN"/>
        </w:rPr>
        <w:t xml:space="preserve"> Yếu tố cơ sở vật chất cũng cần được dự toán cụ thể</w:t>
      </w:r>
      <w:r w:rsidR="00BD1EBF" w:rsidRPr="00BD1EBF">
        <w:rPr>
          <w:rFonts w:ascii="Times New Roman" w:hAnsi="Times New Roman" w:cs="Times New Roman"/>
          <w:sz w:val="26"/>
          <w:szCs w:val="26"/>
          <w:lang w:val="vi-VN"/>
        </w:rPr>
        <w:t xml:space="preserve"> để bảo đảm việc thực hiện trợ giúp pháp lý được thực hiện hiệu quả</w:t>
      </w:r>
      <w:r w:rsidR="0044416F" w:rsidRPr="0044416F">
        <w:rPr>
          <w:rFonts w:ascii="Times New Roman" w:hAnsi="Times New Roman" w:cs="Times New Roman"/>
          <w:sz w:val="26"/>
          <w:szCs w:val="26"/>
          <w:lang w:val="vi-VN"/>
        </w:rPr>
        <w:t xml:space="preserve">. </w:t>
      </w:r>
      <w:r w:rsidR="0044416F" w:rsidRPr="00BD1EBF">
        <w:rPr>
          <w:rFonts w:ascii="Times New Roman" w:hAnsi="Times New Roman" w:cs="Times New Roman"/>
          <w:sz w:val="26"/>
          <w:szCs w:val="26"/>
          <w:lang w:val="vi-VN"/>
        </w:rPr>
        <w:t>Ngoài ra, cần tổ chức</w:t>
      </w:r>
      <w:r w:rsidR="007B726E" w:rsidRPr="00291B03">
        <w:rPr>
          <w:rFonts w:ascii="Times New Roman" w:hAnsi="Times New Roman" w:cs="Times New Roman"/>
          <w:sz w:val="26"/>
          <w:szCs w:val="26"/>
          <w:lang w:val="vi-VN"/>
        </w:rPr>
        <w:t xml:space="preserve"> </w:t>
      </w:r>
      <w:r w:rsidR="00291B03" w:rsidRPr="00291B03">
        <w:rPr>
          <w:rFonts w:ascii="Times New Roman" w:hAnsi="Times New Roman" w:cs="Times New Roman"/>
          <w:sz w:val="26"/>
          <w:szCs w:val="26"/>
          <w:lang w:val="vi-VN"/>
        </w:rPr>
        <w:t xml:space="preserve">các buổi tập huấn cho </w:t>
      </w:r>
      <w:r w:rsidR="00291B03" w:rsidRPr="00291B03">
        <w:rPr>
          <w:rFonts w:ascii="Times New Roman" w:hAnsi="Times New Roman" w:cs="Times New Roman"/>
          <w:i/>
          <w:iCs/>
          <w:sz w:val="26"/>
          <w:szCs w:val="26"/>
          <w:lang w:val="vi-VN"/>
        </w:rPr>
        <w:t>"Luật sư trực"</w:t>
      </w:r>
      <w:r w:rsidR="00291B03" w:rsidRPr="00291B03">
        <w:rPr>
          <w:rFonts w:ascii="Times New Roman" w:hAnsi="Times New Roman" w:cs="Times New Roman"/>
          <w:sz w:val="26"/>
          <w:szCs w:val="26"/>
          <w:lang w:val="vi-VN"/>
        </w:rPr>
        <w:t xml:space="preserve">, </w:t>
      </w:r>
      <w:r w:rsidR="006E532A" w:rsidRPr="006E532A">
        <w:rPr>
          <w:rFonts w:ascii="Times New Roman" w:hAnsi="Times New Roman" w:cs="Times New Roman"/>
          <w:sz w:val="26"/>
          <w:szCs w:val="26"/>
          <w:lang w:val="vi-VN"/>
        </w:rPr>
        <w:t>việc tham gia trợ giúp pháp lý cũng cần phải có trình tự, thủ tục rõ ràng</w:t>
      </w:r>
      <w:r w:rsidR="00291B03" w:rsidRPr="00291B03">
        <w:rPr>
          <w:rFonts w:ascii="Times New Roman" w:hAnsi="Times New Roman" w:cs="Times New Roman"/>
          <w:sz w:val="26"/>
          <w:szCs w:val="26"/>
          <w:lang w:val="vi-VN"/>
        </w:rPr>
        <w:t xml:space="preserve"> </w:t>
      </w:r>
      <w:r w:rsidR="006E532A" w:rsidRPr="006E532A">
        <w:rPr>
          <w:rFonts w:ascii="Times New Roman" w:hAnsi="Times New Roman" w:cs="Times New Roman"/>
          <w:sz w:val="26"/>
          <w:szCs w:val="26"/>
          <w:lang w:val="vi-VN"/>
        </w:rPr>
        <w:t>để bảo đảm tính chuyên nghiệp.</w:t>
      </w:r>
      <w:r w:rsidR="00291B03" w:rsidRPr="00291B03">
        <w:rPr>
          <w:rFonts w:ascii="Times New Roman" w:hAnsi="Times New Roman" w:cs="Times New Roman"/>
          <w:sz w:val="26"/>
          <w:szCs w:val="26"/>
          <w:lang w:val="vi-VN"/>
        </w:rPr>
        <w:t xml:space="preserve"> </w:t>
      </w:r>
    </w:p>
    <w:p w14:paraId="5FF1B80C" w14:textId="7CA8BBB2" w:rsidR="000D51A3" w:rsidRPr="0044416F" w:rsidRDefault="0065773C" w:rsidP="00607857">
      <w:pPr>
        <w:spacing w:before="120" w:after="0" w:line="240" w:lineRule="auto"/>
        <w:ind w:firstLine="709"/>
        <w:jc w:val="both"/>
        <w:rPr>
          <w:rFonts w:ascii="Times New Roman" w:hAnsi="Times New Roman" w:cs="Times New Roman"/>
          <w:sz w:val="26"/>
          <w:szCs w:val="26"/>
          <w:lang w:val="vi-VN"/>
        </w:rPr>
      </w:pPr>
      <w:r w:rsidRPr="0065773C">
        <w:rPr>
          <w:rFonts w:ascii="Times New Roman" w:hAnsi="Times New Roman" w:cs="Times New Roman"/>
          <w:sz w:val="26"/>
          <w:szCs w:val="26"/>
          <w:lang w:val="vi-VN"/>
        </w:rPr>
        <w:t xml:space="preserve">Ngoài việc xem xét các điều kiện bố trí Luật sư trực, </w:t>
      </w:r>
      <w:r w:rsidR="00B14B36" w:rsidRPr="00B14B36">
        <w:rPr>
          <w:rFonts w:ascii="Times New Roman" w:hAnsi="Times New Roman" w:cs="Times New Roman"/>
          <w:sz w:val="26"/>
          <w:szCs w:val="26"/>
          <w:lang w:val="vi-VN"/>
        </w:rPr>
        <w:t>còn phải xem xét</w:t>
      </w:r>
      <w:r w:rsidR="001E454D" w:rsidRPr="001E454D">
        <w:rPr>
          <w:rFonts w:ascii="Times New Roman" w:hAnsi="Times New Roman" w:cs="Times New Roman"/>
          <w:sz w:val="26"/>
          <w:szCs w:val="26"/>
          <w:lang w:val="vi-VN"/>
        </w:rPr>
        <w:t xml:space="preserve"> </w:t>
      </w:r>
      <w:r w:rsidR="00EA3ACC" w:rsidRPr="00EA3ACC">
        <w:rPr>
          <w:rFonts w:ascii="Times New Roman" w:hAnsi="Times New Roman" w:cs="Times New Roman"/>
          <w:sz w:val="26"/>
          <w:szCs w:val="26"/>
          <w:lang w:val="vi-VN"/>
        </w:rPr>
        <w:t>quy định</w:t>
      </w:r>
      <w:r w:rsidR="0094528C" w:rsidRPr="0094528C">
        <w:rPr>
          <w:rFonts w:ascii="Times New Roman" w:hAnsi="Times New Roman" w:cs="Times New Roman"/>
          <w:sz w:val="26"/>
          <w:szCs w:val="26"/>
          <w:lang w:val="vi-VN"/>
        </w:rPr>
        <w:t xml:space="preserve"> các quyền cụ thể </w:t>
      </w:r>
      <w:r w:rsidR="00AE2246" w:rsidRPr="00AE2246">
        <w:rPr>
          <w:rFonts w:ascii="Times New Roman" w:hAnsi="Times New Roman" w:cs="Times New Roman"/>
          <w:sz w:val="26"/>
          <w:szCs w:val="26"/>
          <w:lang w:val="vi-VN"/>
        </w:rPr>
        <w:t xml:space="preserve">cho </w:t>
      </w:r>
      <w:r w:rsidR="00EA3ACC" w:rsidRPr="00EA3ACC">
        <w:rPr>
          <w:rFonts w:ascii="Times New Roman" w:hAnsi="Times New Roman" w:cs="Times New Roman"/>
          <w:sz w:val="26"/>
          <w:szCs w:val="26"/>
          <w:lang w:val="vi-VN"/>
        </w:rPr>
        <w:t>Luật sư trực có thể thực hiện để phục vụ</w:t>
      </w:r>
      <w:r w:rsidR="000860C6" w:rsidRPr="000860C6">
        <w:rPr>
          <w:rFonts w:ascii="Times New Roman" w:hAnsi="Times New Roman" w:cs="Times New Roman"/>
          <w:sz w:val="26"/>
          <w:szCs w:val="26"/>
          <w:lang w:val="vi-VN"/>
        </w:rPr>
        <w:t xml:space="preserve"> cho việc</w:t>
      </w:r>
      <w:r w:rsidR="00EA3ACC" w:rsidRPr="00EA3ACC">
        <w:rPr>
          <w:rFonts w:ascii="Times New Roman" w:hAnsi="Times New Roman" w:cs="Times New Roman"/>
          <w:sz w:val="26"/>
          <w:szCs w:val="26"/>
          <w:lang w:val="vi-VN"/>
        </w:rPr>
        <w:t xml:space="preserve"> trợ giúp pháp lý đối với </w:t>
      </w:r>
      <w:r w:rsidR="002D29CE" w:rsidRPr="002D29CE">
        <w:rPr>
          <w:rFonts w:ascii="Times New Roman" w:hAnsi="Times New Roman" w:cs="Times New Roman"/>
          <w:sz w:val="26"/>
          <w:szCs w:val="26"/>
          <w:lang w:val="vi-VN"/>
        </w:rPr>
        <w:t>người chưa thành niên bị buộc tội</w:t>
      </w:r>
      <w:r w:rsidR="006B111B" w:rsidRPr="006B111B">
        <w:rPr>
          <w:rFonts w:ascii="Times New Roman" w:hAnsi="Times New Roman" w:cs="Times New Roman"/>
          <w:sz w:val="26"/>
          <w:szCs w:val="26"/>
          <w:lang w:val="vi-VN"/>
        </w:rPr>
        <w:t xml:space="preserve">, </w:t>
      </w:r>
      <w:r w:rsidR="006B111B" w:rsidRPr="00E33FA0">
        <w:rPr>
          <w:rFonts w:ascii="Times New Roman" w:hAnsi="Times New Roman" w:cs="Times New Roman"/>
          <w:sz w:val="26"/>
          <w:szCs w:val="26"/>
          <w:lang w:val="vi-VN"/>
        </w:rPr>
        <w:t>c</w:t>
      </w:r>
      <w:r w:rsidR="00C55D0C" w:rsidRPr="00C55D0C">
        <w:rPr>
          <w:rFonts w:ascii="Times New Roman" w:hAnsi="Times New Roman" w:cs="Times New Roman"/>
          <w:sz w:val="26"/>
          <w:szCs w:val="26"/>
          <w:lang w:val="vi-VN"/>
        </w:rPr>
        <w:t xml:space="preserve">ó thể gợi mở </w:t>
      </w:r>
      <w:r w:rsidR="00E33FA0" w:rsidRPr="00E33FA0">
        <w:rPr>
          <w:rFonts w:ascii="Times New Roman" w:hAnsi="Times New Roman" w:cs="Times New Roman"/>
          <w:sz w:val="26"/>
          <w:szCs w:val="26"/>
          <w:lang w:val="vi-VN"/>
        </w:rPr>
        <w:t>như</w:t>
      </w:r>
      <w:r w:rsidR="000860C6" w:rsidRPr="000860C6">
        <w:rPr>
          <w:rFonts w:ascii="Times New Roman" w:hAnsi="Times New Roman" w:cs="Times New Roman"/>
          <w:sz w:val="26"/>
          <w:szCs w:val="26"/>
          <w:lang w:val="vi-VN"/>
        </w:rPr>
        <w:t xml:space="preserve"> </w:t>
      </w:r>
      <w:r w:rsidR="00C55D0C" w:rsidRPr="00C55D0C">
        <w:rPr>
          <w:rFonts w:ascii="Times New Roman" w:hAnsi="Times New Roman" w:cs="Times New Roman"/>
          <w:sz w:val="26"/>
          <w:szCs w:val="26"/>
          <w:lang w:val="vi-VN"/>
        </w:rPr>
        <w:t>tư vấn pháp luật</w:t>
      </w:r>
      <w:r w:rsidR="00E33FA0" w:rsidRPr="00E33FA0">
        <w:rPr>
          <w:rFonts w:ascii="Times New Roman" w:hAnsi="Times New Roman" w:cs="Times New Roman"/>
          <w:sz w:val="26"/>
          <w:szCs w:val="26"/>
          <w:lang w:val="vi-VN"/>
        </w:rPr>
        <w:t xml:space="preserve"> các nội dung liên quan đến quyền và nghĩa vụ của người bị buộc tội; các quy định pháp luật liên quan đến vụ việc mà người bị buộc tội gặp phải; </w:t>
      </w:r>
      <w:r w:rsidR="002A12B8" w:rsidRPr="002A12B8">
        <w:rPr>
          <w:rFonts w:ascii="Times New Roman" w:hAnsi="Times New Roman" w:cs="Times New Roman"/>
          <w:sz w:val="26"/>
          <w:szCs w:val="26"/>
          <w:lang w:val="vi-VN"/>
        </w:rPr>
        <w:t>đăng ký bào chữa ngay tại thời điểm người chưa thành niên yêu cầu để kịp thời thực hiện trợ giúp pháp lý</w:t>
      </w:r>
      <w:r w:rsidR="0044416F" w:rsidRPr="0044416F">
        <w:rPr>
          <w:rFonts w:ascii="Times New Roman" w:hAnsi="Times New Roman" w:cs="Times New Roman"/>
          <w:sz w:val="26"/>
          <w:szCs w:val="26"/>
          <w:lang w:val="vi-VN"/>
        </w:rPr>
        <w:t>.</w:t>
      </w:r>
    </w:p>
    <w:p w14:paraId="50AE5E68" w14:textId="6E6D01ED" w:rsidR="00D92717" w:rsidRDefault="00D92717" w:rsidP="00BB56D5">
      <w:pPr>
        <w:spacing w:before="120" w:after="0" w:line="240" w:lineRule="auto"/>
        <w:ind w:firstLine="709"/>
        <w:jc w:val="both"/>
        <w:rPr>
          <w:rFonts w:ascii="Times New Roman" w:hAnsi="Times New Roman" w:cs="Times New Roman"/>
          <w:sz w:val="26"/>
          <w:szCs w:val="26"/>
          <w:lang w:val="vi-VN"/>
        </w:rPr>
      </w:pPr>
      <w:r w:rsidRPr="00D92717">
        <w:rPr>
          <w:rFonts w:ascii="Times New Roman" w:hAnsi="Times New Roman" w:cs="Times New Roman"/>
          <w:sz w:val="26"/>
          <w:szCs w:val="26"/>
          <w:lang w:val="vi-VN"/>
        </w:rPr>
        <w:lastRenderedPageBreak/>
        <w:t xml:space="preserve">Tập thể tác giả cho rằng, </w:t>
      </w:r>
      <w:r w:rsidR="00607857" w:rsidRPr="00607857">
        <w:rPr>
          <w:rFonts w:ascii="Times New Roman" w:hAnsi="Times New Roman" w:cs="Times New Roman"/>
          <w:sz w:val="26"/>
          <w:szCs w:val="26"/>
          <w:lang w:val="vi-VN"/>
        </w:rPr>
        <w:t xml:space="preserve">đây là một quy định hay và hoàn toàn có thể áp dụng </w:t>
      </w:r>
      <w:r w:rsidR="00BC791E" w:rsidRPr="00BC791E">
        <w:rPr>
          <w:rFonts w:ascii="Times New Roman" w:hAnsi="Times New Roman" w:cs="Times New Roman"/>
          <w:sz w:val="26"/>
          <w:szCs w:val="26"/>
          <w:lang w:val="vi-VN"/>
        </w:rPr>
        <w:t xml:space="preserve">thí điểm ở nước ta tại các tỉnh thành có đủ điều kiện </w:t>
      </w:r>
      <w:r w:rsidR="00F243A3" w:rsidRPr="00F243A3">
        <w:rPr>
          <w:rFonts w:ascii="Times New Roman" w:hAnsi="Times New Roman" w:cs="Times New Roman"/>
          <w:sz w:val="26"/>
          <w:szCs w:val="26"/>
          <w:lang w:val="vi-VN"/>
        </w:rPr>
        <w:t xml:space="preserve">về số lượng Luật sư. </w:t>
      </w:r>
      <w:r w:rsidR="00E916F8" w:rsidRPr="00E916F8">
        <w:rPr>
          <w:rFonts w:ascii="Times New Roman" w:hAnsi="Times New Roman" w:cs="Times New Roman"/>
          <w:sz w:val="26"/>
          <w:szCs w:val="26"/>
          <w:lang w:val="vi-VN"/>
        </w:rPr>
        <w:t>Sau thời gian thí điểm, có thể tổng hợp và đánh giá để áp dụng thành quy định chính thức trên phạm vi cả nước</w:t>
      </w:r>
      <w:r w:rsidR="00747E44" w:rsidRPr="00747E44">
        <w:rPr>
          <w:rFonts w:ascii="Times New Roman" w:hAnsi="Times New Roman" w:cs="Times New Roman"/>
          <w:sz w:val="26"/>
          <w:szCs w:val="26"/>
          <w:lang w:val="vi-VN"/>
        </w:rPr>
        <w:t>.</w:t>
      </w:r>
    </w:p>
    <w:p w14:paraId="7919A2D3" w14:textId="080783FD" w:rsidR="007608AA" w:rsidRPr="00CD0104" w:rsidRDefault="00CD0104" w:rsidP="007608AA">
      <w:pPr>
        <w:spacing w:before="120" w:after="0" w:line="240" w:lineRule="auto"/>
        <w:ind w:firstLine="709"/>
        <w:jc w:val="both"/>
        <w:rPr>
          <w:rFonts w:ascii="Times New Roman" w:hAnsi="Times New Roman" w:cs="Times New Roman"/>
          <w:b/>
          <w:bCs/>
          <w:i/>
          <w:iCs/>
          <w:sz w:val="26"/>
          <w:szCs w:val="26"/>
          <w:lang w:val="vi-VN"/>
        </w:rPr>
      </w:pPr>
      <w:r w:rsidRPr="00CD0104">
        <w:rPr>
          <w:rFonts w:ascii="Times New Roman" w:hAnsi="Times New Roman" w:cs="Times New Roman"/>
          <w:b/>
          <w:bCs/>
          <w:i/>
          <w:iCs/>
          <w:sz w:val="26"/>
          <w:szCs w:val="26"/>
          <w:lang w:val="vi-VN"/>
        </w:rPr>
        <w:t>3.</w:t>
      </w:r>
      <w:r w:rsidR="007608AA" w:rsidRPr="00CD0104">
        <w:rPr>
          <w:rFonts w:ascii="Times New Roman" w:hAnsi="Times New Roman" w:cs="Times New Roman"/>
          <w:b/>
          <w:bCs/>
          <w:i/>
          <w:iCs/>
          <w:sz w:val="26"/>
          <w:szCs w:val="26"/>
          <w:lang w:val="vi-VN"/>
        </w:rPr>
        <w:t xml:space="preserve">2. Chú trọng yếu tố giáo dục đối với người chưa thành niên trong </w:t>
      </w:r>
      <w:r w:rsidR="00980672" w:rsidRPr="00CD0104">
        <w:rPr>
          <w:rFonts w:ascii="Times New Roman" w:hAnsi="Times New Roman" w:cs="Times New Roman"/>
          <w:b/>
          <w:bCs/>
          <w:i/>
          <w:iCs/>
          <w:sz w:val="26"/>
          <w:szCs w:val="26"/>
          <w:lang w:val="vi-VN"/>
        </w:rPr>
        <w:t>TTHS</w:t>
      </w:r>
      <w:r w:rsidR="007608AA" w:rsidRPr="00CD0104">
        <w:rPr>
          <w:rFonts w:ascii="Times New Roman" w:hAnsi="Times New Roman" w:cs="Times New Roman"/>
          <w:b/>
          <w:bCs/>
          <w:i/>
          <w:iCs/>
          <w:sz w:val="26"/>
          <w:szCs w:val="26"/>
          <w:lang w:val="vi-VN"/>
        </w:rPr>
        <w:t>.</w:t>
      </w:r>
    </w:p>
    <w:p w14:paraId="678880F2" w14:textId="0E4A3D8A" w:rsidR="007608AA" w:rsidRPr="008302F8" w:rsidRDefault="007608AA" w:rsidP="007608AA">
      <w:pPr>
        <w:spacing w:before="120" w:after="0" w:line="240" w:lineRule="auto"/>
        <w:ind w:firstLine="709"/>
        <w:jc w:val="both"/>
        <w:rPr>
          <w:rFonts w:ascii="Times New Roman" w:hAnsi="Times New Roman" w:cs="Times New Roman"/>
          <w:sz w:val="26"/>
          <w:szCs w:val="26"/>
          <w:lang w:val="vi-VN"/>
        </w:rPr>
      </w:pPr>
      <w:r w:rsidRPr="00CF7289">
        <w:rPr>
          <w:rFonts w:ascii="Times New Roman" w:hAnsi="Times New Roman" w:cs="Times New Roman"/>
          <w:sz w:val="26"/>
          <w:szCs w:val="26"/>
          <w:lang w:val="vi-VN"/>
        </w:rPr>
        <w:t>Xét cho cùng, đối với người chưa thành niên phạm tội</w:t>
      </w:r>
      <w:r w:rsidRPr="006E7048">
        <w:rPr>
          <w:rFonts w:ascii="Times New Roman" w:hAnsi="Times New Roman" w:cs="Times New Roman"/>
          <w:sz w:val="26"/>
          <w:szCs w:val="26"/>
          <w:lang w:val="vi-VN"/>
        </w:rPr>
        <w:t>, mục đích cuối cùng</w:t>
      </w:r>
      <w:r w:rsidRPr="00DD6682">
        <w:rPr>
          <w:rFonts w:ascii="Times New Roman" w:hAnsi="Times New Roman" w:cs="Times New Roman"/>
          <w:sz w:val="26"/>
          <w:szCs w:val="26"/>
          <w:lang w:val="vi-VN"/>
        </w:rPr>
        <w:t xml:space="preserve"> vẫn </w:t>
      </w:r>
      <w:r w:rsidRPr="0068251A">
        <w:rPr>
          <w:rFonts w:ascii="Times New Roman" w:hAnsi="Times New Roman" w:cs="Times New Roman"/>
          <w:sz w:val="26"/>
          <w:szCs w:val="26"/>
          <w:lang w:val="vi-VN"/>
        </w:rPr>
        <w:t xml:space="preserve">là đặt </w:t>
      </w:r>
      <w:r w:rsidRPr="00440F6E">
        <w:rPr>
          <w:rFonts w:ascii="Times New Roman" w:hAnsi="Times New Roman" w:cs="Times New Roman"/>
          <w:sz w:val="26"/>
          <w:szCs w:val="26"/>
          <w:lang w:val="vi-VN"/>
        </w:rPr>
        <w:t xml:space="preserve">yếu tố </w:t>
      </w:r>
      <w:r w:rsidRPr="0068251A">
        <w:rPr>
          <w:rFonts w:ascii="Times New Roman" w:hAnsi="Times New Roman" w:cs="Times New Roman"/>
          <w:sz w:val="26"/>
          <w:szCs w:val="26"/>
          <w:lang w:val="vi-VN"/>
        </w:rPr>
        <w:t>giáo dục lên hàng đầu</w:t>
      </w:r>
      <w:r w:rsidRPr="005967D6">
        <w:rPr>
          <w:rFonts w:ascii="Times New Roman" w:hAnsi="Times New Roman" w:cs="Times New Roman"/>
          <w:sz w:val="26"/>
          <w:szCs w:val="26"/>
          <w:lang w:val="vi-VN"/>
        </w:rPr>
        <w:t xml:space="preserve">, giúp các em </w:t>
      </w:r>
      <w:r w:rsidRPr="000C5D51">
        <w:rPr>
          <w:rFonts w:ascii="Times New Roman" w:hAnsi="Times New Roman" w:cs="Times New Roman"/>
          <w:sz w:val="26"/>
          <w:szCs w:val="26"/>
          <w:lang w:val="vi-VN"/>
        </w:rPr>
        <w:t xml:space="preserve">sau này trưởng thành sẽ </w:t>
      </w:r>
      <w:r w:rsidRPr="00C43E16">
        <w:rPr>
          <w:rFonts w:ascii="Times New Roman" w:hAnsi="Times New Roman" w:cs="Times New Roman"/>
          <w:sz w:val="26"/>
          <w:szCs w:val="26"/>
          <w:lang w:val="vi-VN"/>
        </w:rPr>
        <w:t>vượt qu</w:t>
      </w:r>
      <w:r w:rsidRPr="005A0E7C">
        <w:rPr>
          <w:rFonts w:ascii="Times New Roman" w:hAnsi="Times New Roman" w:cs="Times New Roman"/>
          <w:sz w:val="26"/>
          <w:szCs w:val="26"/>
          <w:lang w:val="vi-VN"/>
        </w:rPr>
        <w:t>a</w:t>
      </w:r>
      <w:r w:rsidRPr="004A28F0">
        <w:rPr>
          <w:rFonts w:ascii="Times New Roman" w:hAnsi="Times New Roman" w:cs="Times New Roman"/>
          <w:sz w:val="26"/>
          <w:szCs w:val="26"/>
          <w:lang w:val="vi-VN"/>
        </w:rPr>
        <w:t xml:space="preserve"> </w:t>
      </w:r>
      <w:r w:rsidRPr="00EC22D9">
        <w:rPr>
          <w:rFonts w:ascii="Times New Roman" w:hAnsi="Times New Roman" w:cs="Times New Roman"/>
          <w:sz w:val="26"/>
          <w:szCs w:val="26"/>
          <w:lang w:val="vi-VN"/>
        </w:rPr>
        <w:t xml:space="preserve">được các lỗi lầm </w:t>
      </w:r>
      <w:r w:rsidRPr="005A0E7C">
        <w:rPr>
          <w:rFonts w:ascii="Times New Roman" w:hAnsi="Times New Roman" w:cs="Times New Roman"/>
          <w:sz w:val="26"/>
          <w:szCs w:val="26"/>
          <w:lang w:val="vi-VN"/>
        </w:rPr>
        <w:t xml:space="preserve">đã mắc phải </w:t>
      </w:r>
      <w:r w:rsidRPr="00EC22D9">
        <w:rPr>
          <w:rFonts w:ascii="Times New Roman" w:hAnsi="Times New Roman" w:cs="Times New Roman"/>
          <w:sz w:val="26"/>
          <w:szCs w:val="26"/>
          <w:lang w:val="vi-VN"/>
        </w:rPr>
        <w:t>trong quá khứ</w:t>
      </w:r>
      <w:r w:rsidRPr="00404DFD">
        <w:rPr>
          <w:rFonts w:ascii="Times New Roman" w:hAnsi="Times New Roman" w:cs="Times New Roman"/>
          <w:sz w:val="26"/>
          <w:szCs w:val="26"/>
          <w:lang w:val="vi-VN"/>
        </w:rPr>
        <w:t xml:space="preserve">, cố gắng phấn đấu vươn lên để trở thành người có ích cho xã hội. </w:t>
      </w:r>
      <w:r w:rsidRPr="00FD066E">
        <w:rPr>
          <w:rFonts w:ascii="Times New Roman" w:hAnsi="Times New Roman" w:cs="Times New Roman"/>
          <w:sz w:val="26"/>
          <w:szCs w:val="26"/>
          <w:lang w:val="vi-VN"/>
        </w:rPr>
        <w:t xml:space="preserve">Tuy nhiên, đối với pháp luật TTHS Việt Nam hiện hành thì </w:t>
      </w:r>
      <w:r w:rsidRPr="00012232">
        <w:rPr>
          <w:rFonts w:ascii="Times New Roman" w:hAnsi="Times New Roman" w:cs="Times New Roman"/>
          <w:sz w:val="26"/>
          <w:szCs w:val="26"/>
          <w:lang w:val="vi-VN"/>
        </w:rPr>
        <w:t>yếu tố giáo dục chủ yếu được luật hóa bằng các biện pháp tư pháp như biện pháp giáo dục tại xã, phường, thị trấn hoặc biện pháp giáo dục tại trường giáo dưỡng. Trong phạm vi bài viết này, tập thể tác giả sẽ không đi sâu vào các b</w:t>
      </w:r>
      <w:r w:rsidRPr="008302F8">
        <w:rPr>
          <w:rFonts w:ascii="Times New Roman" w:hAnsi="Times New Roman" w:cs="Times New Roman"/>
          <w:sz w:val="26"/>
          <w:szCs w:val="26"/>
          <w:lang w:val="vi-VN"/>
        </w:rPr>
        <w:t xml:space="preserve">iện pháp tư pháp nêu trên mà sẽ thực hiện khuyến nghị đối với việc giáo dục người chưa thành niên </w:t>
      </w:r>
      <w:r w:rsidR="00157EE6" w:rsidRPr="00157EE6">
        <w:rPr>
          <w:rFonts w:ascii="Times New Roman" w:hAnsi="Times New Roman" w:cs="Times New Roman"/>
          <w:sz w:val="26"/>
          <w:szCs w:val="26"/>
          <w:lang w:val="vi-VN"/>
        </w:rPr>
        <w:t>trong quá trình tham gia TTHS</w:t>
      </w:r>
      <w:r w:rsidRPr="008302F8">
        <w:rPr>
          <w:rFonts w:ascii="Times New Roman" w:hAnsi="Times New Roman" w:cs="Times New Roman"/>
          <w:sz w:val="26"/>
          <w:szCs w:val="26"/>
          <w:lang w:val="vi-VN"/>
        </w:rPr>
        <w:t>.</w:t>
      </w:r>
    </w:p>
    <w:p w14:paraId="7AC7AD56" w14:textId="77777777" w:rsidR="007608AA" w:rsidRDefault="007608AA" w:rsidP="007608AA">
      <w:pPr>
        <w:spacing w:before="120" w:after="0" w:line="240" w:lineRule="auto"/>
        <w:ind w:firstLine="709"/>
        <w:jc w:val="both"/>
        <w:rPr>
          <w:rFonts w:ascii="Times New Roman" w:hAnsi="Times New Roman" w:cs="Times New Roman"/>
          <w:sz w:val="26"/>
          <w:szCs w:val="26"/>
          <w:lang w:val="vi-VN"/>
        </w:rPr>
      </w:pPr>
      <w:r w:rsidRPr="0003080B">
        <w:rPr>
          <w:rFonts w:ascii="Times New Roman" w:hAnsi="Times New Roman" w:cs="Times New Roman"/>
          <w:sz w:val="26"/>
          <w:szCs w:val="26"/>
          <w:lang w:val="vi-VN"/>
        </w:rPr>
        <w:t>Đối với người chưa thành niên đang tham gia chương trình</w:t>
      </w:r>
      <w:r w:rsidRPr="00BA5FFA">
        <w:rPr>
          <w:rFonts w:ascii="Times New Roman" w:hAnsi="Times New Roman" w:cs="Times New Roman"/>
          <w:sz w:val="26"/>
          <w:szCs w:val="26"/>
          <w:lang w:val="vi-VN"/>
        </w:rPr>
        <w:t xml:space="preserve"> giáo dục </w:t>
      </w:r>
      <w:r w:rsidRPr="00CC5320">
        <w:rPr>
          <w:rFonts w:ascii="Times New Roman" w:hAnsi="Times New Roman" w:cs="Times New Roman"/>
          <w:sz w:val="26"/>
          <w:szCs w:val="26"/>
          <w:lang w:val="vi-VN"/>
        </w:rPr>
        <w:t>mà bị</w:t>
      </w:r>
      <w:r w:rsidRPr="00311609">
        <w:rPr>
          <w:rFonts w:ascii="Times New Roman" w:hAnsi="Times New Roman" w:cs="Times New Roman"/>
          <w:sz w:val="26"/>
          <w:szCs w:val="26"/>
          <w:lang w:val="vi-VN"/>
        </w:rPr>
        <w:t xml:space="preserve"> truy cứu trách nhiệm hình sự thì</w:t>
      </w:r>
      <w:r w:rsidRPr="00F165D9">
        <w:rPr>
          <w:rFonts w:ascii="Times New Roman" w:hAnsi="Times New Roman" w:cs="Times New Roman"/>
          <w:sz w:val="26"/>
          <w:szCs w:val="26"/>
          <w:lang w:val="vi-VN"/>
        </w:rPr>
        <w:t xml:space="preserve"> có thể xem xét </w:t>
      </w:r>
      <w:r w:rsidRPr="00562C55">
        <w:rPr>
          <w:rFonts w:ascii="Times New Roman" w:hAnsi="Times New Roman" w:cs="Times New Roman"/>
          <w:sz w:val="26"/>
          <w:szCs w:val="26"/>
          <w:lang w:val="vi-VN"/>
        </w:rPr>
        <w:t xml:space="preserve">để </w:t>
      </w:r>
      <w:r w:rsidRPr="00333F87">
        <w:rPr>
          <w:rFonts w:ascii="Times New Roman" w:hAnsi="Times New Roman" w:cs="Times New Roman"/>
          <w:sz w:val="26"/>
          <w:szCs w:val="26"/>
          <w:lang w:val="vi-VN"/>
        </w:rPr>
        <w:t xml:space="preserve">bảo đảm cho các em tiếp tục được </w:t>
      </w:r>
      <w:r w:rsidRPr="000F5769">
        <w:rPr>
          <w:rFonts w:ascii="Times New Roman" w:hAnsi="Times New Roman" w:cs="Times New Roman"/>
          <w:sz w:val="26"/>
          <w:szCs w:val="26"/>
          <w:lang w:val="vi-VN"/>
        </w:rPr>
        <w:t xml:space="preserve">học tập để chương trình học không bị gián đoạn. </w:t>
      </w:r>
      <w:r w:rsidRPr="0015433A">
        <w:rPr>
          <w:rFonts w:ascii="Times New Roman" w:hAnsi="Times New Roman" w:cs="Times New Roman"/>
          <w:sz w:val="26"/>
          <w:szCs w:val="26"/>
          <w:lang w:val="vi-VN"/>
        </w:rPr>
        <w:t xml:space="preserve">Bởi lẽ, </w:t>
      </w:r>
      <w:r w:rsidRPr="002603F6">
        <w:rPr>
          <w:rFonts w:ascii="Times New Roman" w:hAnsi="Times New Roman" w:cs="Times New Roman"/>
          <w:sz w:val="26"/>
          <w:szCs w:val="26"/>
          <w:lang w:val="vi-VN"/>
        </w:rPr>
        <w:t xml:space="preserve">người bị buộc tội được coi là không có tội cho đến khi được chứng minh theo trình tự, thủ tục </w:t>
      </w:r>
      <w:r w:rsidRPr="00463098">
        <w:rPr>
          <w:rFonts w:ascii="Times New Roman" w:hAnsi="Times New Roman" w:cs="Times New Roman"/>
          <w:sz w:val="26"/>
          <w:szCs w:val="26"/>
          <w:lang w:val="vi-VN"/>
        </w:rPr>
        <w:t xml:space="preserve">TTHS </w:t>
      </w:r>
      <w:r w:rsidRPr="002603F6">
        <w:rPr>
          <w:rFonts w:ascii="Times New Roman" w:hAnsi="Times New Roman" w:cs="Times New Roman"/>
          <w:sz w:val="26"/>
          <w:szCs w:val="26"/>
          <w:lang w:val="vi-VN"/>
        </w:rPr>
        <w:t>và có bản án kết tội của Tòa án đã có hiệu lực pháp luật</w:t>
      </w:r>
      <w:r>
        <w:rPr>
          <w:rStyle w:val="FootnoteReference"/>
          <w:rFonts w:ascii="Times New Roman" w:hAnsi="Times New Roman" w:cs="Times New Roman"/>
          <w:sz w:val="26"/>
          <w:szCs w:val="26"/>
          <w:lang w:val="vi-VN"/>
        </w:rPr>
        <w:footnoteReference w:id="4"/>
      </w:r>
      <w:r w:rsidRPr="002603F6">
        <w:rPr>
          <w:rFonts w:ascii="Times New Roman" w:hAnsi="Times New Roman" w:cs="Times New Roman"/>
          <w:sz w:val="26"/>
          <w:szCs w:val="26"/>
          <w:lang w:val="vi-VN"/>
        </w:rPr>
        <w:t>.</w:t>
      </w:r>
      <w:r w:rsidRPr="00736292">
        <w:rPr>
          <w:rFonts w:ascii="Times New Roman" w:hAnsi="Times New Roman" w:cs="Times New Roman"/>
          <w:sz w:val="26"/>
          <w:szCs w:val="26"/>
          <w:lang w:val="vi-VN"/>
        </w:rPr>
        <w:t xml:space="preserve"> Trong TTHS, khi chưa có Bán án</w:t>
      </w:r>
      <w:r w:rsidRPr="00FC0D7A">
        <w:rPr>
          <w:rFonts w:ascii="Times New Roman" w:hAnsi="Times New Roman" w:cs="Times New Roman"/>
          <w:sz w:val="26"/>
          <w:szCs w:val="26"/>
          <w:lang w:val="vi-VN"/>
        </w:rPr>
        <w:t xml:space="preserve"> kết tội của Tòa á</w:t>
      </w:r>
      <w:r w:rsidRPr="00687116">
        <w:rPr>
          <w:rFonts w:ascii="Times New Roman" w:hAnsi="Times New Roman" w:cs="Times New Roman"/>
          <w:sz w:val="26"/>
          <w:szCs w:val="26"/>
          <w:lang w:val="vi-VN"/>
        </w:rPr>
        <w:t>n</w:t>
      </w:r>
      <w:r w:rsidRPr="00736292">
        <w:rPr>
          <w:rFonts w:ascii="Times New Roman" w:hAnsi="Times New Roman" w:cs="Times New Roman"/>
          <w:sz w:val="26"/>
          <w:szCs w:val="26"/>
          <w:lang w:val="vi-VN"/>
        </w:rPr>
        <w:t xml:space="preserve">, các em vẫn được coi là không có tội, vẫn </w:t>
      </w:r>
      <w:r w:rsidRPr="00687116">
        <w:rPr>
          <w:rFonts w:ascii="Times New Roman" w:hAnsi="Times New Roman" w:cs="Times New Roman"/>
          <w:sz w:val="26"/>
          <w:szCs w:val="26"/>
          <w:lang w:val="vi-VN"/>
        </w:rPr>
        <w:t>phải được tham gia chương trình giáo dục vì đây là nền tảng cơ bản và cốt lõi để giúp các em có thể trở thành một người tốt hơn trong tương l</w:t>
      </w:r>
      <w:r w:rsidRPr="00C452B5">
        <w:rPr>
          <w:rFonts w:ascii="Times New Roman" w:hAnsi="Times New Roman" w:cs="Times New Roman"/>
          <w:sz w:val="26"/>
          <w:szCs w:val="26"/>
          <w:lang w:val="vi-VN"/>
        </w:rPr>
        <w:t>ai</w:t>
      </w:r>
      <w:r w:rsidRPr="00BC1FC4">
        <w:rPr>
          <w:rFonts w:ascii="Times New Roman" w:hAnsi="Times New Roman" w:cs="Times New Roman"/>
          <w:sz w:val="26"/>
          <w:szCs w:val="26"/>
          <w:lang w:val="vi-VN"/>
        </w:rPr>
        <w:t>.</w:t>
      </w:r>
      <w:r w:rsidRPr="004C65FA">
        <w:rPr>
          <w:rFonts w:ascii="Times New Roman" w:hAnsi="Times New Roman" w:cs="Times New Roman"/>
          <w:sz w:val="26"/>
          <w:szCs w:val="26"/>
          <w:lang w:val="vi-VN"/>
        </w:rPr>
        <w:t xml:space="preserve"> Để làm được việc này, </w:t>
      </w:r>
      <w:r w:rsidRPr="00B13961">
        <w:rPr>
          <w:rFonts w:ascii="Times New Roman" w:hAnsi="Times New Roman" w:cs="Times New Roman"/>
          <w:sz w:val="26"/>
          <w:szCs w:val="26"/>
          <w:lang w:val="vi-VN"/>
        </w:rPr>
        <w:t xml:space="preserve">cần nghiên cứu phối hợp giữa </w:t>
      </w:r>
      <w:r w:rsidRPr="007101C1">
        <w:rPr>
          <w:rFonts w:ascii="Times New Roman" w:hAnsi="Times New Roman" w:cs="Times New Roman"/>
          <w:sz w:val="26"/>
          <w:szCs w:val="26"/>
          <w:lang w:val="vi-VN"/>
        </w:rPr>
        <w:t>cơ quan tiến hành tố t</w:t>
      </w:r>
      <w:r w:rsidRPr="007F2724">
        <w:rPr>
          <w:rFonts w:ascii="Times New Roman" w:hAnsi="Times New Roman" w:cs="Times New Roman"/>
          <w:sz w:val="26"/>
          <w:szCs w:val="26"/>
          <w:lang w:val="vi-VN"/>
        </w:rPr>
        <w:t>ụng</w:t>
      </w:r>
      <w:r w:rsidRPr="00B13961">
        <w:rPr>
          <w:rFonts w:ascii="Times New Roman" w:hAnsi="Times New Roman" w:cs="Times New Roman"/>
          <w:sz w:val="26"/>
          <w:szCs w:val="26"/>
          <w:lang w:val="vi-VN"/>
        </w:rPr>
        <w:t xml:space="preserve"> và </w:t>
      </w:r>
      <w:r w:rsidRPr="007F2724">
        <w:rPr>
          <w:rFonts w:ascii="Times New Roman" w:hAnsi="Times New Roman" w:cs="Times New Roman"/>
          <w:sz w:val="26"/>
          <w:szCs w:val="26"/>
          <w:lang w:val="vi-VN"/>
        </w:rPr>
        <w:t xml:space="preserve">Nhà trường hoặc các </w:t>
      </w:r>
      <w:r w:rsidRPr="00EE6099">
        <w:rPr>
          <w:rFonts w:ascii="Times New Roman" w:hAnsi="Times New Roman" w:cs="Times New Roman"/>
          <w:sz w:val="26"/>
          <w:szCs w:val="26"/>
          <w:lang w:val="vi-VN"/>
        </w:rPr>
        <w:t>cơ quan</w:t>
      </w:r>
      <w:r w:rsidRPr="007F2724">
        <w:rPr>
          <w:rFonts w:ascii="Times New Roman" w:hAnsi="Times New Roman" w:cs="Times New Roman"/>
          <w:sz w:val="26"/>
          <w:szCs w:val="26"/>
          <w:lang w:val="vi-VN"/>
        </w:rPr>
        <w:t xml:space="preserve"> giáo dục khác để bảo đảm nguồn lực thực hiện</w:t>
      </w:r>
      <w:r w:rsidRPr="008216F8">
        <w:rPr>
          <w:rFonts w:ascii="Times New Roman" w:hAnsi="Times New Roman" w:cs="Times New Roman"/>
          <w:sz w:val="26"/>
          <w:szCs w:val="26"/>
          <w:lang w:val="vi-VN"/>
        </w:rPr>
        <w:t>. Đồng thời, cũng cần quy định rõ cơ chế thực hiện cụ thể để bảo đảm việc học của các em sẽ được bảo đảm thuận tiện, hiệu quả nhưng không được ảnh hưởng đến quá trình điều tra, truy tố, xét xử</w:t>
      </w:r>
      <w:r w:rsidRPr="00872E9D">
        <w:rPr>
          <w:rFonts w:ascii="Times New Roman" w:hAnsi="Times New Roman" w:cs="Times New Roman"/>
          <w:sz w:val="26"/>
          <w:szCs w:val="26"/>
          <w:lang w:val="vi-VN"/>
        </w:rPr>
        <w:t>.</w:t>
      </w:r>
    </w:p>
    <w:p w14:paraId="5951ABE2" w14:textId="77777777" w:rsidR="007608AA" w:rsidRDefault="007608AA" w:rsidP="007608AA">
      <w:pPr>
        <w:spacing w:before="120" w:after="0" w:line="240" w:lineRule="auto"/>
        <w:ind w:firstLine="709"/>
        <w:jc w:val="both"/>
        <w:rPr>
          <w:rFonts w:ascii="Times New Roman" w:hAnsi="Times New Roman" w:cs="Times New Roman"/>
          <w:sz w:val="26"/>
          <w:szCs w:val="26"/>
          <w:lang w:val="vi-VN"/>
        </w:rPr>
      </w:pPr>
      <w:r w:rsidRPr="00880F76">
        <w:rPr>
          <w:rFonts w:ascii="Times New Roman" w:hAnsi="Times New Roman" w:cs="Times New Roman"/>
          <w:sz w:val="26"/>
          <w:szCs w:val="26"/>
          <w:lang w:val="vi-VN"/>
        </w:rPr>
        <w:t xml:space="preserve">Khi tiến hành xét xử các vụ án liên quan đến người chưa thành niên, Tòa án không chỉ ra phán quyết mà còn phải </w:t>
      </w:r>
      <w:r w:rsidRPr="00BA2BC4">
        <w:rPr>
          <w:rFonts w:ascii="Times New Roman" w:hAnsi="Times New Roman" w:cs="Times New Roman"/>
          <w:sz w:val="26"/>
          <w:szCs w:val="26"/>
          <w:lang w:val="vi-VN"/>
        </w:rPr>
        <w:t xml:space="preserve">tìm hiểu </w:t>
      </w:r>
      <w:r w:rsidRPr="00E74D98">
        <w:rPr>
          <w:rFonts w:ascii="Times New Roman" w:hAnsi="Times New Roman" w:cs="Times New Roman"/>
          <w:sz w:val="26"/>
          <w:szCs w:val="26"/>
          <w:lang w:val="vi-VN"/>
        </w:rPr>
        <w:t xml:space="preserve">nguyên nhân dẫn đến việc thực hiện tội phạm của các em. </w:t>
      </w:r>
      <w:r w:rsidRPr="00365752">
        <w:rPr>
          <w:rFonts w:ascii="Times New Roman" w:hAnsi="Times New Roman" w:cs="Times New Roman"/>
          <w:sz w:val="26"/>
          <w:szCs w:val="26"/>
          <w:lang w:val="vi-VN"/>
        </w:rPr>
        <w:t xml:space="preserve">Từ đó, thông qua thực tiễn xét xử, có thể có những kiến nghị đối với các cơ quan giáo dục để hoàn thiện chương trình giáo dục, góp phần ngăn ngừa, giảm thiểu tỉ lệ người chưa thành niên phạm tội. </w:t>
      </w:r>
      <w:r w:rsidRPr="005A5454">
        <w:rPr>
          <w:rFonts w:ascii="Times New Roman" w:hAnsi="Times New Roman" w:cs="Times New Roman"/>
          <w:sz w:val="26"/>
          <w:szCs w:val="26"/>
          <w:lang w:val="vi-VN"/>
        </w:rPr>
        <w:t xml:space="preserve">Để thực hiện nội dung này, </w:t>
      </w:r>
      <w:r w:rsidRPr="00930854">
        <w:rPr>
          <w:rFonts w:ascii="Times New Roman" w:hAnsi="Times New Roman" w:cs="Times New Roman"/>
          <w:sz w:val="26"/>
          <w:szCs w:val="26"/>
          <w:lang w:val="vi-VN"/>
        </w:rPr>
        <w:t>có thể xem xét</w:t>
      </w:r>
      <w:r w:rsidRPr="000B3537">
        <w:rPr>
          <w:rFonts w:ascii="Times New Roman" w:hAnsi="Times New Roman" w:cs="Times New Roman"/>
          <w:sz w:val="26"/>
          <w:szCs w:val="26"/>
          <w:lang w:val="vi-VN"/>
        </w:rPr>
        <w:t xml:space="preserve"> </w:t>
      </w:r>
      <w:r w:rsidRPr="004726DC">
        <w:rPr>
          <w:rFonts w:ascii="Times New Roman" w:hAnsi="Times New Roman" w:cs="Times New Roman"/>
          <w:sz w:val="26"/>
          <w:szCs w:val="26"/>
          <w:lang w:val="vi-VN"/>
        </w:rPr>
        <w:t xml:space="preserve">quy định vào Bộ luật TTHS hoặc </w:t>
      </w:r>
      <w:r w:rsidRPr="005A5454">
        <w:rPr>
          <w:rFonts w:ascii="Times New Roman" w:hAnsi="Times New Roman" w:cs="Times New Roman"/>
          <w:sz w:val="26"/>
          <w:szCs w:val="26"/>
          <w:lang w:val="vi-VN"/>
        </w:rPr>
        <w:t xml:space="preserve">hướng dẫn bằng </w:t>
      </w:r>
      <w:r w:rsidRPr="004726DC">
        <w:rPr>
          <w:rFonts w:ascii="Times New Roman" w:hAnsi="Times New Roman" w:cs="Times New Roman"/>
          <w:sz w:val="26"/>
          <w:szCs w:val="26"/>
          <w:lang w:val="vi-VN"/>
        </w:rPr>
        <w:t xml:space="preserve">Thông tư liên ngành </w:t>
      </w:r>
      <w:r w:rsidRPr="00902D25">
        <w:rPr>
          <w:rFonts w:ascii="Times New Roman" w:hAnsi="Times New Roman" w:cs="Times New Roman"/>
          <w:sz w:val="26"/>
          <w:szCs w:val="26"/>
          <w:lang w:val="vi-VN"/>
        </w:rPr>
        <w:t xml:space="preserve">quy định cơ chế kiến nghị </w:t>
      </w:r>
      <w:r w:rsidRPr="0087028E">
        <w:rPr>
          <w:rFonts w:ascii="Times New Roman" w:hAnsi="Times New Roman" w:cs="Times New Roman"/>
          <w:sz w:val="26"/>
          <w:szCs w:val="26"/>
          <w:lang w:val="vi-VN"/>
        </w:rPr>
        <w:t>của</w:t>
      </w:r>
      <w:r w:rsidRPr="00A950F3">
        <w:rPr>
          <w:rFonts w:ascii="Times New Roman" w:hAnsi="Times New Roman" w:cs="Times New Roman"/>
          <w:sz w:val="26"/>
          <w:szCs w:val="26"/>
          <w:lang w:val="vi-VN"/>
        </w:rPr>
        <w:t xml:space="preserve"> </w:t>
      </w:r>
      <w:r w:rsidRPr="00902D25">
        <w:rPr>
          <w:rFonts w:ascii="Times New Roman" w:hAnsi="Times New Roman" w:cs="Times New Roman"/>
          <w:sz w:val="26"/>
          <w:szCs w:val="26"/>
          <w:lang w:val="vi-VN"/>
        </w:rPr>
        <w:t xml:space="preserve">Tòa án nhân dân </w:t>
      </w:r>
      <w:r w:rsidRPr="00A950F3">
        <w:rPr>
          <w:rFonts w:ascii="Times New Roman" w:hAnsi="Times New Roman" w:cs="Times New Roman"/>
          <w:sz w:val="26"/>
          <w:szCs w:val="26"/>
          <w:lang w:val="vi-VN"/>
        </w:rPr>
        <w:t>đối với</w:t>
      </w:r>
      <w:r w:rsidRPr="00902D25">
        <w:rPr>
          <w:rFonts w:ascii="Times New Roman" w:hAnsi="Times New Roman" w:cs="Times New Roman"/>
          <w:sz w:val="26"/>
          <w:szCs w:val="26"/>
          <w:lang w:val="vi-VN"/>
        </w:rPr>
        <w:t xml:space="preserve"> các cơ quan </w:t>
      </w:r>
      <w:r w:rsidRPr="00A950F3">
        <w:rPr>
          <w:rFonts w:ascii="Times New Roman" w:hAnsi="Times New Roman" w:cs="Times New Roman"/>
          <w:sz w:val="26"/>
          <w:szCs w:val="26"/>
          <w:lang w:val="vi-VN"/>
        </w:rPr>
        <w:t>liên quan</w:t>
      </w:r>
      <w:r w:rsidRPr="00902D25">
        <w:rPr>
          <w:rFonts w:ascii="Times New Roman" w:hAnsi="Times New Roman" w:cs="Times New Roman"/>
          <w:sz w:val="26"/>
          <w:szCs w:val="26"/>
          <w:lang w:val="vi-VN"/>
        </w:rPr>
        <w:t xml:space="preserve"> </w:t>
      </w:r>
      <w:r w:rsidRPr="004A73FE">
        <w:rPr>
          <w:rFonts w:ascii="Times New Roman" w:hAnsi="Times New Roman" w:cs="Times New Roman"/>
          <w:sz w:val="26"/>
          <w:szCs w:val="26"/>
          <w:lang w:val="vi-VN"/>
        </w:rPr>
        <w:t>để hoàn thiên, tăng cường hiệu quả giáo dục đối với người chưa thành niên phạm t</w:t>
      </w:r>
      <w:r w:rsidRPr="00433796">
        <w:rPr>
          <w:rFonts w:ascii="Times New Roman" w:hAnsi="Times New Roman" w:cs="Times New Roman"/>
          <w:sz w:val="26"/>
          <w:szCs w:val="26"/>
          <w:lang w:val="vi-VN"/>
        </w:rPr>
        <w:t>ội</w:t>
      </w:r>
      <w:r w:rsidRPr="00902D25">
        <w:rPr>
          <w:rFonts w:ascii="Times New Roman" w:hAnsi="Times New Roman" w:cs="Times New Roman"/>
          <w:sz w:val="26"/>
          <w:szCs w:val="26"/>
          <w:lang w:val="vi-VN"/>
        </w:rPr>
        <w:t>.</w:t>
      </w:r>
    </w:p>
    <w:p w14:paraId="07A8FDB4" w14:textId="0D523A44" w:rsidR="007608AA" w:rsidRPr="007608AA" w:rsidRDefault="00FB52F6" w:rsidP="007608AA">
      <w:pPr>
        <w:spacing w:before="120" w:after="0" w:line="240" w:lineRule="auto"/>
        <w:ind w:firstLine="709"/>
        <w:jc w:val="both"/>
        <w:rPr>
          <w:rFonts w:ascii="Times New Roman" w:hAnsi="Times New Roman" w:cs="Times New Roman"/>
          <w:sz w:val="26"/>
          <w:szCs w:val="26"/>
          <w:lang w:val="vi-VN"/>
        </w:rPr>
      </w:pPr>
      <w:r w:rsidRPr="00FB52F6">
        <w:rPr>
          <w:rFonts w:ascii="Times New Roman" w:hAnsi="Times New Roman" w:cs="Times New Roman"/>
          <w:sz w:val="26"/>
          <w:szCs w:val="26"/>
          <w:lang w:val="vi-VN"/>
        </w:rPr>
        <w:t>C</w:t>
      </w:r>
      <w:r w:rsidR="007608AA" w:rsidRPr="00C91547">
        <w:rPr>
          <w:rFonts w:ascii="Times New Roman" w:hAnsi="Times New Roman" w:cs="Times New Roman"/>
          <w:sz w:val="26"/>
          <w:szCs w:val="26"/>
          <w:lang w:val="vi-VN"/>
        </w:rPr>
        <w:t>ơ quan tiến hành tố tụng cũng cần chú</w:t>
      </w:r>
      <w:r w:rsidR="007608AA" w:rsidRPr="007E7ED6">
        <w:rPr>
          <w:rFonts w:ascii="Times New Roman" w:hAnsi="Times New Roman" w:cs="Times New Roman"/>
          <w:sz w:val="26"/>
          <w:szCs w:val="26"/>
          <w:lang w:val="vi-VN"/>
        </w:rPr>
        <w:t xml:space="preserve"> trọng đến việc giáo dục pháp luật cho người chưa thành niên trong quá trình giải quyết vụ án</w:t>
      </w:r>
      <w:r w:rsidR="007608AA" w:rsidRPr="00FF0AE6">
        <w:rPr>
          <w:rFonts w:ascii="Times New Roman" w:hAnsi="Times New Roman" w:cs="Times New Roman"/>
          <w:sz w:val="26"/>
          <w:szCs w:val="26"/>
          <w:lang w:val="vi-VN"/>
        </w:rPr>
        <w:t xml:space="preserve">, bởi lẽ, đối với người chưa thành niên khi mắc phải lỗi lầm </w:t>
      </w:r>
      <w:r w:rsidR="007608AA" w:rsidRPr="003473A5">
        <w:rPr>
          <w:rFonts w:ascii="Times New Roman" w:hAnsi="Times New Roman" w:cs="Times New Roman"/>
          <w:sz w:val="26"/>
          <w:szCs w:val="26"/>
          <w:lang w:val="vi-VN"/>
        </w:rPr>
        <w:t xml:space="preserve">thì nhiều khả năng các em không nhận thức được hành vi của mình là sai trái hoặc do </w:t>
      </w:r>
      <w:r w:rsidR="007608AA" w:rsidRPr="003C37C8">
        <w:rPr>
          <w:rFonts w:ascii="Times New Roman" w:hAnsi="Times New Roman" w:cs="Times New Roman"/>
          <w:sz w:val="26"/>
          <w:szCs w:val="26"/>
          <w:lang w:val="vi-VN"/>
        </w:rPr>
        <w:t xml:space="preserve">môi trường giáo dục của các em còn nhiều hạn chế, dẫn đến thiếu hiểu biết, thiếu sự quan tâm, </w:t>
      </w:r>
      <w:r w:rsidR="007608AA" w:rsidRPr="007311C4">
        <w:rPr>
          <w:rFonts w:ascii="Times New Roman" w:hAnsi="Times New Roman" w:cs="Times New Roman"/>
          <w:sz w:val="26"/>
          <w:szCs w:val="26"/>
          <w:lang w:val="vi-VN"/>
        </w:rPr>
        <w:t>giúp đỡ</w:t>
      </w:r>
      <w:r w:rsidR="007608AA" w:rsidRPr="003C37C8">
        <w:rPr>
          <w:rFonts w:ascii="Times New Roman" w:hAnsi="Times New Roman" w:cs="Times New Roman"/>
          <w:sz w:val="26"/>
          <w:szCs w:val="26"/>
          <w:lang w:val="vi-VN"/>
        </w:rPr>
        <w:t xml:space="preserve"> của gia đình và xã hội</w:t>
      </w:r>
      <w:r w:rsidR="007608AA" w:rsidRPr="003E3D0B">
        <w:rPr>
          <w:rFonts w:ascii="Times New Roman" w:hAnsi="Times New Roman" w:cs="Times New Roman"/>
          <w:sz w:val="26"/>
          <w:szCs w:val="26"/>
          <w:lang w:val="vi-VN"/>
        </w:rPr>
        <w:t>.</w:t>
      </w:r>
      <w:r w:rsidR="007608AA" w:rsidRPr="009B2C65">
        <w:rPr>
          <w:rFonts w:ascii="Times New Roman" w:hAnsi="Times New Roman" w:cs="Times New Roman"/>
          <w:sz w:val="26"/>
          <w:szCs w:val="26"/>
          <w:lang w:val="vi-VN"/>
        </w:rPr>
        <w:t xml:space="preserve"> Do đó, trong quá trình tiến hành tố tụng, người tiến hành tố tụng cũng cần chú trọng giải thích, giáo dục </w:t>
      </w:r>
      <w:r w:rsidR="007608AA" w:rsidRPr="00EA1E73">
        <w:rPr>
          <w:rFonts w:ascii="Times New Roman" w:hAnsi="Times New Roman" w:cs="Times New Roman"/>
          <w:sz w:val="26"/>
          <w:szCs w:val="26"/>
          <w:lang w:val="vi-VN"/>
        </w:rPr>
        <w:t>pháp luật ch</w:t>
      </w:r>
      <w:r w:rsidR="007608AA" w:rsidRPr="00FD7FF8">
        <w:rPr>
          <w:rFonts w:ascii="Times New Roman" w:hAnsi="Times New Roman" w:cs="Times New Roman"/>
          <w:sz w:val="26"/>
          <w:szCs w:val="26"/>
          <w:lang w:val="vi-VN"/>
        </w:rPr>
        <w:t xml:space="preserve">o </w:t>
      </w:r>
      <w:r w:rsidR="007608AA" w:rsidRPr="009B2C65">
        <w:rPr>
          <w:rFonts w:ascii="Times New Roman" w:hAnsi="Times New Roman" w:cs="Times New Roman"/>
          <w:sz w:val="26"/>
          <w:szCs w:val="26"/>
          <w:lang w:val="vi-VN"/>
        </w:rPr>
        <w:t>các em để</w:t>
      </w:r>
      <w:r w:rsidR="007608AA" w:rsidRPr="00A54D14">
        <w:rPr>
          <w:rFonts w:ascii="Times New Roman" w:hAnsi="Times New Roman" w:cs="Times New Roman"/>
          <w:sz w:val="26"/>
          <w:szCs w:val="26"/>
          <w:lang w:val="vi-VN"/>
        </w:rPr>
        <w:t xml:space="preserve"> quá trình TTHS</w:t>
      </w:r>
      <w:r w:rsidR="007608AA" w:rsidRPr="009B2C65">
        <w:rPr>
          <w:rFonts w:ascii="Times New Roman" w:hAnsi="Times New Roman" w:cs="Times New Roman"/>
          <w:sz w:val="26"/>
          <w:szCs w:val="26"/>
          <w:lang w:val="vi-VN"/>
        </w:rPr>
        <w:t xml:space="preserve"> </w:t>
      </w:r>
      <w:r w:rsidR="007608AA" w:rsidRPr="00932090">
        <w:rPr>
          <w:rFonts w:ascii="Times New Roman" w:hAnsi="Times New Roman" w:cs="Times New Roman"/>
          <w:sz w:val="26"/>
          <w:szCs w:val="26"/>
          <w:lang w:val="vi-VN"/>
        </w:rPr>
        <w:t xml:space="preserve">không chỉ dừng lại xử lý sai phạm mà còn </w:t>
      </w:r>
      <w:r w:rsidR="007608AA" w:rsidRPr="00D604B8">
        <w:rPr>
          <w:rFonts w:ascii="Times New Roman" w:hAnsi="Times New Roman" w:cs="Times New Roman"/>
          <w:sz w:val="26"/>
          <w:szCs w:val="26"/>
          <w:lang w:val="vi-VN"/>
        </w:rPr>
        <w:t>mang tính giáo dục, phòng ngừa chung cho những trường hợp tương tự có thể xảy ra trong tương lai.</w:t>
      </w:r>
      <w:r w:rsidR="007608AA" w:rsidRPr="00C11C0A">
        <w:rPr>
          <w:rFonts w:ascii="Times New Roman" w:hAnsi="Times New Roman" w:cs="Times New Roman"/>
          <w:sz w:val="26"/>
          <w:szCs w:val="26"/>
          <w:lang w:val="vi-VN"/>
        </w:rPr>
        <w:t xml:space="preserve"> Nội dung này cũng rất cần được quy định cụ thể vào Bộ luật TTHS để trở thành một nguyên tắc khi xét xử đối với người chưa thành niên.</w:t>
      </w:r>
    </w:p>
    <w:p w14:paraId="1A97C4D3" w14:textId="16698BA4" w:rsidR="004D4DF6" w:rsidRPr="00CD0104" w:rsidRDefault="00CD0104" w:rsidP="004D4DF6">
      <w:pPr>
        <w:spacing w:before="120" w:after="0" w:line="240" w:lineRule="auto"/>
        <w:ind w:firstLine="709"/>
        <w:jc w:val="both"/>
        <w:rPr>
          <w:rFonts w:ascii="Times New Roman" w:hAnsi="Times New Roman" w:cs="Times New Roman"/>
          <w:b/>
          <w:bCs/>
          <w:i/>
          <w:iCs/>
          <w:sz w:val="26"/>
          <w:szCs w:val="26"/>
          <w:lang w:val="vi-VN"/>
        </w:rPr>
      </w:pPr>
      <w:r w:rsidRPr="00CD0104">
        <w:rPr>
          <w:rFonts w:ascii="Times New Roman" w:hAnsi="Times New Roman" w:cs="Times New Roman"/>
          <w:b/>
          <w:bCs/>
          <w:i/>
          <w:iCs/>
          <w:sz w:val="26"/>
          <w:szCs w:val="26"/>
          <w:lang w:val="vi-VN"/>
        </w:rPr>
        <w:lastRenderedPageBreak/>
        <w:t>3.</w:t>
      </w:r>
      <w:r w:rsidR="007A19F2" w:rsidRPr="00CD0104">
        <w:rPr>
          <w:rFonts w:ascii="Times New Roman" w:hAnsi="Times New Roman" w:cs="Times New Roman"/>
          <w:b/>
          <w:bCs/>
          <w:i/>
          <w:iCs/>
          <w:sz w:val="26"/>
          <w:szCs w:val="26"/>
          <w:lang w:val="vi-VN"/>
        </w:rPr>
        <w:t>3</w:t>
      </w:r>
      <w:r w:rsidR="004D4DF6" w:rsidRPr="00CD0104">
        <w:rPr>
          <w:rFonts w:ascii="Times New Roman" w:hAnsi="Times New Roman" w:cs="Times New Roman"/>
          <w:b/>
          <w:bCs/>
          <w:i/>
          <w:iCs/>
          <w:sz w:val="26"/>
          <w:szCs w:val="26"/>
          <w:lang w:val="vi-VN"/>
        </w:rPr>
        <w:t xml:space="preserve">. </w:t>
      </w:r>
      <w:r w:rsidR="00445A4C" w:rsidRPr="00CD0104">
        <w:rPr>
          <w:rFonts w:ascii="Times New Roman" w:hAnsi="Times New Roman" w:cs="Times New Roman"/>
          <w:b/>
          <w:bCs/>
          <w:i/>
          <w:iCs/>
          <w:sz w:val="26"/>
          <w:szCs w:val="26"/>
          <w:lang w:val="vi-VN"/>
        </w:rPr>
        <w:t>Bảo mật</w:t>
      </w:r>
      <w:r w:rsidR="005768AF" w:rsidRPr="00CD0104">
        <w:rPr>
          <w:rFonts w:ascii="Times New Roman" w:hAnsi="Times New Roman" w:cs="Times New Roman"/>
          <w:b/>
          <w:bCs/>
          <w:i/>
          <w:iCs/>
          <w:sz w:val="26"/>
          <w:szCs w:val="26"/>
          <w:lang w:val="vi-VN"/>
        </w:rPr>
        <w:t xml:space="preserve"> hồ sơ</w:t>
      </w:r>
      <w:r w:rsidR="00F81B73" w:rsidRPr="00CD0104">
        <w:rPr>
          <w:rFonts w:ascii="Times New Roman" w:hAnsi="Times New Roman" w:cs="Times New Roman"/>
          <w:b/>
          <w:bCs/>
          <w:i/>
          <w:iCs/>
          <w:sz w:val="26"/>
          <w:szCs w:val="26"/>
          <w:lang w:val="vi-VN"/>
        </w:rPr>
        <w:t xml:space="preserve"> và thông tin</w:t>
      </w:r>
      <w:r w:rsidR="00AA3C99" w:rsidRPr="00CD0104">
        <w:rPr>
          <w:rFonts w:ascii="Times New Roman" w:hAnsi="Times New Roman" w:cs="Times New Roman"/>
          <w:b/>
          <w:bCs/>
          <w:i/>
          <w:iCs/>
          <w:sz w:val="26"/>
          <w:szCs w:val="26"/>
          <w:lang w:val="vi-VN"/>
        </w:rPr>
        <w:t xml:space="preserve"> </w:t>
      </w:r>
      <w:r w:rsidR="005768AF" w:rsidRPr="00CD0104">
        <w:rPr>
          <w:rFonts w:ascii="Times New Roman" w:hAnsi="Times New Roman" w:cs="Times New Roman"/>
          <w:b/>
          <w:bCs/>
          <w:i/>
          <w:iCs/>
          <w:sz w:val="26"/>
          <w:szCs w:val="26"/>
          <w:lang w:val="vi-VN"/>
        </w:rPr>
        <w:t>liên quan đến</w:t>
      </w:r>
      <w:r w:rsidR="004D4DF6" w:rsidRPr="00CD0104">
        <w:rPr>
          <w:rFonts w:ascii="Times New Roman" w:hAnsi="Times New Roman" w:cs="Times New Roman"/>
          <w:b/>
          <w:bCs/>
          <w:i/>
          <w:iCs/>
          <w:sz w:val="26"/>
          <w:szCs w:val="26"/>
          <w:lang w:val="vi-VN"/>
        </w:rPr>
        <w:t xml:space="preserve"> người chưa thành niên</w:t>
      </w:r>
      <w:r w:rsidR="00017232" w:rsidRPr="00CD0104">
        <w:rPr>
          <w:rFonts w:ascii="Times New Roman" w:hAnsi="Times New Roman" w:cs="Times New Roman"/>
          <w:b/>
          <w:bCs/>
          <w:i/>
          <w:iCs/>
          <w:sz w:val="26"/>
          <w:szCs w:val="26"/>
          <w:lang w:val="vi-VN"/>
        </w:rPr>
        <w:t xml:space="preserve"> </w:t>
      </w:r>
      <w:r w:rsidR="00B24420" w:rsidRPr="00CD0104">
        <w:rPr>
          <w:rFonts w:ascii="Times New Roman" w:hAnsi="Times New Roman" w:cs="Times New Roman"/>
          <w:b/>
          <w:bCs/>
          <w:i/>
          <w:iCs/>
          <w:sz w:val="26"/>
          <w:szCs w:val="26"/>
          <w:lang w:val="vi-VN"/>
        </w:rPr>
        <w:t>trong TTHS</w:t>
      </w:r>
      <w:r w:rsidR="004D4DF6" w:rsidRPr="00CD0104">
        <w:rPr>
          <w:rFonts w:ascii="Times New Roman" w:hAnsi="Times New Roman" w:cs="Times New Roman"/>
          <w:b/>
          <w:bCs/>
          <w:i/>
          <w:iCs/>
          <w:sz w:val="26"/>
          <w:szCs w:val="26"/>
          <w:lang w:val="vi-VN"/>
        </w:rPr>
        <w:t>.</w:t>
      </w:r>
    </w:p>
    <w:p w14:paraId="1326C13B" w14:textId="0E402AA5" w:rsidR="00DB0CA2" w:rsidRDefault="00FD20ED" w:rsidP="00A94B62">
      <w:pPr>
        <w:spacing w:before="120" w:after="0" w:line="240" w:lineRule="auto"/>
        <w:ind w:firstLine="709"/>
        <w:jc w:val="both"/>
        <w:rPr>
          <w:rFonts w:ascii="Times New Roman" w:hAnsi="Times New Roman" w:cs="Times New Roman"/>
          <w:sz w:val="26"/>
          <w:szCs w:val="26"/>
          <w:lang w:val="vi-VN"/>
        </w:rPr>
      </w:pPr>
      <w:r w:rsidRPr="00FD20ED">
        <w:rPr>
          <w:rFonts w:ascii="Times New Roman" w:hAnsi="Times New Roman" w:cs="Times New Roman"/>
          <w:sz w:val="26"/>
          <w:szCs w:val="26"/>
          <w:lang w:val="vi-VN"/>
        </w:rPr>
        <w:t>Đối với người chưa thành niên</w:t>
      </w:r>
      <w:r w:rsidR="00212682" w:rsidRPr="00212682">
        <w:rPr>
          <w:rFonts w:ascii="Times New Roman" w:hAnsi="Times New Roman" w:cs="Times New Roman"/>
          <w:sz w:val="26"/>
          <w:szCs w:val="26"/>
          <w:lang w:val="vi-VN"/>
        </w:rPr>
        <w:t xml:space="preserve"> phạm t</w:t>
      </w:r>
      <w:r w:rsidR="00212682" w:rsidRPr="0055151B">
        <w:rPr>
          <w:rFonts w:ascii="Times New Roman" w:hAnsi="Times New Roman" w:cs="Times New Roman"/>
          <w:sz w:val="26"/>
          <w:szCs w:val="26"/>
          <w:lang w:val="vi-VN"/>
        </w:rPr>
        <w:t>ội</w:t>
      </w:r>
      <w:r w:rsidRPr="00FD20ED">
        <w:rPr>
          <w:rFonts w:ascii="Times New Roman" w:hAnsi="Times New Roman" w:cs="Times New Roman"/>
          <w:sz w:val="26"/>
          <w:szCs w:val="26"/>
          <w:lang w:val="vi-VN"/>
        </w:rPr>
        <w:t>, tâm lý của các em còn rất non nớt và chưa thực sự phát triển đủ nhận thức như một người trưởng thành, vẫn cần được giáo dục để trở thành một người có ích cho xã hội.</w:t>
      </w:r>
      <w:r w:rsidR="003D5FEA" w:rsidRPr="003D5FEA">
        <w:rPr>
          <w:rFonts w:ascii="Times New Roman" w:hAnsi="Times New Roman" w:cs="Times New Roman"/>
          <w:sz w:val="26"/>
          <w:szCs w:val="26"/>
          <w:lang w:val="vi-VN"/>
        </w:rPr>
        <w:t xml:space="preserve"> </w:t>
      </w:r>
      <w:r w:rsidR="00083B05" w:rsidRPr="00083B05">
        <w:rPr>
          <w:rFonts w:ascii="Times New Roman" w:hAnsi="Times New Roman" w:cs="Times New Roman"/>
          <w:sz w:val="26"/>
          <w:szCs w:val="26"/>
          <w:lang w:val="vi-VN"/>
        </w:rPr>
        <w:t xml:space="preserve">Trong độ tuổi vị thành niên, các em dễ bị lôi kéo, dụ dỗ bước vào con đường tội phạm, tuy nhiên, ngoài việc truy cứu trách nhiệm, cũng cần phải nghiên cứu các cơ chế để giúp các em </w:t>
      </w:r>
      <w:r w:rsidR="00680993" w:rsidRPr="00680993">
        <w:rPr>
          <w:rFonts w:ascii="Times New Roman" w:hAnsi="Times New Roman" w:cs="Times New Roman"/>
          <w:sz w:val="26"/>
          <w:szCs w:val="26"/>
          <w:lang w:val="vi-VN"/>
        </w:rPr>
        <w:t xml:space="preserve">có cơ hội để sửa chữa lỗi lầm và hòa nhập với cộng đồng. </w:t>
      </w:r>
      <w:r w:rsidR="008331C0" w:rsidRPr="008331C0">
        <w:rPr>
          <w:rFonts w:ascii="Times New Roman" w:hAnsi="Times New Roman" w:cs="Times New Roman"/>
          <w:sz w:val="26"/>
          <w:szCs w:val="26"/>
          <w:lang w:val="vi-VN"/>
        </w:rPr>
        <w:t>Nếu các hồ sơ liên quan đến phạm tội của trẻ vị thành niên</w:t>
      </w:r>
      <w:r w:rsidR="001F7507" w:rsidRPr="001F7507">
        <w:rPr>
          <w:rFonts w:ascii="Times New Roman" w:hAnsi="Times New Roman" w:cs="Times New Roman"/>
          <w:sz w:val="26"/>
          <w:szCs w:val="26"/>
          <w:lang w:val="vi-VN"/>
        </w:rPr>
        <w:t xml:space="preserve"> không có cơ chế để </w:t>
      </w:r>
      <w:r w:rsidR="0096190F" w:rsidRPr="0096190F">
        <w:rPr>
          <w:rFonts w:ascii="Times New Roman" w:hAnsi="Times New Roman" w:cs="Times New Roman"/>
          <w:sz w:val="26"/>
          <w:szCs w:val="26"/>
          <w:lang w:val="vi-VN"/>
        </w:rPr>
        <w:t>bảo m</w:t>
      </w:r>
      <w:r w:rsidR="0096190F" w:rsidRPr="00F721DD">
        <w:rPr>
          <w:rFonts w:ascii="Times New Roman" w:hAnsi="Times New Roman" w:cs="Times New Roman"/>
          <w:sz w:val="26"/>
          <w:szCs w:val="26"/>
          <w:lang w:val="vi-VN"/>
        </w:rPr>
        <w:t>ật</w:t>
      </w:r>
      <w:r w:rsidR="001F7507" w:rsidRPr="001F7507">
        <w:rPr>
          <w:rFonts w:ascii="Times New Roman" w:hAnsi="Times New Roman" w:cs="Times New Roman"/>
          <w:sz w:val="26"/>
          <w:szCs w:val="26"/>
          <w:lang w:val="vi-VN"/>
        </w:rPr>
        <w:t xml:space="preserve"> thì sẽ có khả năng bị lộ ra bên ngoài</w:t>
      </w:r>
      <w:r w:rsidR="00DB0CA2" w:rsidRPr="00DB0CA2">
        <w:rPr>
          <w:rFonts w:ascii="Times New Roman" w:hAnsi="Times New Roman" w:cs="Times New Roman"/>
          <w:sz w:val="26"/>
          <w:szCs w:val="26"/>
          <w:lang w:val="vi-VN"/>
        </w:rPr>
        <w:t xml:space="preserve">, thông tin về việc đã từng phạm tội của các em sẽ bị công khai. </w:t>
      </w:r>
      <w:r w:rsidR="00DB0CA2" w:rsidRPr="006C5123">
        <w:rPr>
          <w:rFonts w:ascii="Times New Roman" w:hAnsi="Times New Roman" w:cs="Times New Roman"/>
          <w:sz w:val="26"/>
          <w:szCs w:val="26"/>
          <w:lang w:val="vi-VN"/>
        </w:rPr>
        <w:t xml:space="preserve">Trường hợp </w:t>
      </w:r>
      <w:r w:rsidR="00D8431A" w:rsidRPr="006C5123">
        <w:rPr>
          <w:rFonts w:ascii="Times New Roman" w:hAnsi="Times New Roman" w:cs="Times New Roman"/>
          <w:sz w:val="26"/>
          <w:szCs w:val="26"/>
          <w:lang w:val="vi-VN"/>
        </w:rPr>
        <w:t xml:space="preserve">này, các em sẽ bị </w:t>
      </w:r>
      <w:r w:rsidR="00D8431A" w:rsidRPr="006C5123">
        <w:rPr>
          <w:rFonts w:ascii="Times New Roman" w:hAnsi="Times New Roman" w:cs="Times New Roman"/>
          <w:i/>
          <w:iCs/>
          <w:sz w:val="26"/>
          <w:szCs w:val="26"/>
          <w:lang w:val="vi-VN"/>
        </w:rPr>
        <w:t>"dán nhãn"</w:t>
      </w:r>
      <w:r w:rsidR="00D8431A" w:rsidRPr="006C5123">
        <w:rPr>
          <w:rFonts w:ascii="Times New Roman" w:hAnsi="Times New Roman" w:cs="Times New Roman"/>
          <w:sz w:val="26"/>
          <w:szCs w:val="26"/>
          <w:lang w:val="vi-VN"/>
        </w:rPr>
        <w:t xml:space="preserve"> là tội phạm</w:t>
      </w:r>
      <w:r w:rsidR="00BA161F" w:rsidRPr="00BA161F">
        <w:rPr>
          <w:rFonts w:ascii="Times New Roman" w:hAnsi="Times New Roman" w:cs="Times New Roman"/>
          <w:sz w:val="26"/>
          <w:szCs w:val="26"/>
          <w:lang w:val="vi-VN"/>
        </w:rPr>
        <w:t>,</w:t>
      </w:r>
      <w:r w:rsidR="00442225" w:rsidRPr="00442225">
        <w:rPr>
          <w:rFonts w:ascii="Times New Roman" w:hAnsi="Times New Roman" w:cs="Times New Roman"/>
          <w:sz w:val="26"/>
          <w:szCs w:val="26"/>
          <w:lang w:val="vi-VN"/>
        </w:rPr>
        <w:t xml:space="preserve"> việc này rõ ràng ảnh hưởng lớn đến sự phát triển của các em sau này khi quá trình học tập, làm việc đều </w:t>
      </w:r>
      <w:r w:rsidR="001107E1" w:rsidRPr="001107E1">
        <w:rPr>
          <w:rFonts w:ascii="Times New Roman" w:hAnsi="Times New Roman" w:cs="Times New Roman"/>
          <w:sz w:val="26"/>
          <w:szCs w:val="26"/>
          <w:lang w:val="vi-VN"/>
        </w:rPr>
        <w:t xml:space="preserve">có khả năng sẽ </w:t>
      </w:r>
      <w:r w:rsidR="00442225" w:rsidRPr="00442225">
        <w:rPr>
          <w:rFonts w:ascii="Times New Roman" w:hAnsi="Times New Roman" w:cs="Times New Roman"/>
          <w:sz w:val="26"/>
          <w:szCs w:val="26"/>
          <w:lang w:val="vi-VN"/>
        </w:rPr>
        <w:t>bị đánh giá, kỳ thị. Từ đó, các em sẽ gặp khó khăn trong việc</w:t>
      </w:r>
      <w:r w:rsidR="00A94B62" w:rsidRPr="00A94B62">
        <w:rPr>
          <w:rFonts w:ascii="Times New Roman" w:hAnsi="Times New Roman" w:cs="Times New Roman"/>
          <w:sz w:val="26"/>
          <w:szCs w:val="26"/>
          <w:lang w:val="vi-VN"/>
        </w:rPr>
        <w:t xml:space="preserve"> học tập, tìm kiếm cơ hội việc làm, rất có thể các em lại bị rơi xuống </w:t>
      </w:r>
      <w:r w:rsidR="00A94B62" w:rsidRPr="0012750B">
        <w:rPr>
          <w:rFonts w:ascii="Times New Roman" w:hAnsi="Times New Roman" w:cs="Times New Roman"/>
          <w:i/>
          <w:iCs/>
          <w:sz w:val="26"/>
          <w:szCs w:val="26"/>
          <w:lang w:val="vi-VN"/>
        </w:rPr>
        <w:t>"vực thẳm tội phạm"</w:t>
      </w:r>
      <w:r w:rsidR="00A94B62" w:rsidRPr="00A94B62">
        <w:rPr>
          <w:rFonts w:ascii="Times New Roman" w:hAnsi="Times New Roman" w:cs="Times New Roman"/>
          <w:sz w:val="26"/>
          <w:szCs w:val="26"/>
          <w:lang w:val="vi-VN"/>
        </w:rPr>
        <w:t xml:space="preserve"> một lần nữa</w:t>
      </w:r>
      <w:r w:rsidR="0012750B" w:rsidRPr="0012750B">
        <w:rPr>
          <w:rFonts w:ascii="Times New Roman" w:hAnsi="Times New Roman" w:cs="Times New Roman"/>
          <w:sz w:val="26"/>
          <w:szCs w:val="26"/>
          <w:lang w:val="vi-VN"/>
        </w:rPr>
        <w:t>, các nỗ lực trong việc giáo dục, cải huấn tội phạm trở nên vô nghĩa.</w:t>
      </w:r>
    </w:p>
    <w:p w14:paraId="7A7FD065" w14:textId="3686A58B" w:rsidR="00F94BF9" w:rsidRDefault="00D70EF8" w:rsidP="00A94B62">
      <w:pPr>
        <w:spacing w:before="120" w:after="0" w:line="240" w:lineRule="auto"/>
        <w:ind w:firstLine="709"/>
        <w:jc w:val="both"/>
        <w:rPr>
          <w:rFonts w:ascii="Times New Roman" w:hAnsi="Times New Roman" w:cs="Times New Roman"/>
          <w:sz w:val="26"/>
          <w:szCs w:val="26"/>
          <w:lang w:val="vi-VN"/>
        </w:rPr>
      </w:pPr>
      <w:r w:rsidRPr="00D70EF8">
        <w:rPr>
          <w:rFonts w:ascii="Times New Roman" w:hAnsi="Times New Roman" w:cs="Times New Roman"/>
          <w:sz w:val="26"/>
          <w:szCs w:val="26"/>
          <w:lang w:val="vi-VN"/>
        </w:rPr>
        <w:t xml:space="preserve">Khoản 2 Điều 414 </w:t>
      </w:r>
      <w:r w:rsidR="00F94BF9" w:rsidRPr="00F94BF9">
        <w:rPr>
          <w:rFonts w:ascii="Times New Roman" w:hAnsi="Times New Roman" w:cs="Times New Roman"/>
          <w:sz w:val="26"/>
          <w:szCs w:val="26"/>
          <w:lang w:val="vi-VN"/>
        </w:rPr>
        <w:t xml:space="preserve">Bộ luật tố tụng hình sự 2015 của Việt Nam hiện hành đã có quy định nguyên tắc: </w:t>
      </w:r>
      <w:r w:rsidR="00F94BF9" w:rsidRPr="00F94BF9">
        <w:rPr>
          <w:rFonts w:ascii="Times New Roman" w:hAnsi="Times New Roman" w:cs="Times New Roman"/>
          <w:i/>
          <w:iCs/>
          <w:sz w:val="26"/>
          <w:szCs w:val="26"/>
          <w:lang w:val="vi-VN"/>
        </w:rPr>
        <w:t>"Bảo đảm giữ bí mật cá nhân của người dưới 18 tuổi"</w:t>
      </w:r>
      <w:r w:rsidR="00F94BF9" w:rsidRPr="00F94BF9">
        <w:rPr>
          <w:rFonts w:ascii="Times New Roman" w:hAnsi="Times New Roman" w:cs="Times New Roman"/>
          <w:sz w:val="26"/>
          <w:szCs w:val="26"/>
          <w:lang w:val="vi-VN"/>
        </w:rPr>
        <w:t xml:space="preserve">, tuy nhiên, quy định này chỉ mang tính nguyên tắc và chưa có các quy định khác quy định cụ thể về việc bảo đảm giữ bí mật cá nhân của người dưới 18 tuổi sẽ được thực hiện như thế nào? </w:t>
      </w:r>
      <w:r w:rsidR="00F94BF9" w:rsidRPr="002526CA">
        <w:rPr>
          <w:rFonts w:ascii="Times New Roman" w:hAnsi="Times New Roman" w:cs="Times New Roman"/>
          <w:sz w:val="26"/>
          <w:szCs w:val="26"/>
          <w:lang w:val="vi-VN"/>
        </w:rPr>
        <w:t>Hệ quả của việc này</w:t>
      </w:r>
      <w:r w:rsidR="002526CA" w:rsidRPr="002526CA">
        <w:rPr>
          <w:rFonts w:ascii="Times New Roman" w:hAnsi="Times New Roman" w:cs="Times New Roman"/>
          <w:sz w:val="26"/>
          <w:szCs w:val="26"/>
          <w:lang w:val="vi-VN"/>
        </w:rPr>
        <w:t>, các thông tin liên quan đến người dưới 18 tuổi phạm tội vẫn không được bảo mật</w:t>
      </w:r>
      <w:r w:rsidR="009B5766" w:rsidRPr="009B5766">
        <w:rPr>
          <w:rFonts w:ascii="Times New Roman" w:hAnsi="Times New Roman" w:cs="Times New Roman"/>
          <w:sz w:val="26"/>
          <w:szCs w:val="26"/>
          <w:lang w:val="vi-VN"/>
        </w:rPr>
        <w:t>, thậm chí được đăng tải tràn lan trên báo chí, truyền hình.</w:t>
      </w:r>
    </w:p>
    <w:p w14:paraId="1DA4E901" w14:textId="406BA081" w:rsidR="004D6A63" w:rsidRDefault="00B8236B" w:rsidP="00CD03EE">
      <w:pPr>
        <w:spacing w:before="120" w:after="0" w:line="240" w:lineRule="auto"/>
        <w:ind w:firstLine="709"/>
        <w:jc w:val="both"/>
        <w:rPr>
          <w:rFonts w:ascii="Times New Roman" w:hAnsi="Times New Roman" w:cs="Times New Roman"/>
          <w:sz w:val="26"/>
          <w:szCs w:val="26"/>
          <w:lang w:val="vi-VN"/>
        </w:rPr>
      </w:pPr>
      <w:r w:rsidRPr="00F06C4E">
        <w:rPr>
          <w:rFonts w:ascii="Times New Roman" w:hAnsi="Times New Roman" w:cs="Times New Roman"/>
          <w:sz w:val="26"/>
          <w:szCs w:val="26"/>
          <w:lang w:val="vi-VN"/>
        </w:rPr>
        <w:t xml:space="preserve">Theo quy định tại </w:t>
      </w:r>
      <w:r w:rsidR="00FC0305" w:rsidRPr="00FC0305">
        <w:rPr>
          <w:rFonts w:ascii="Times New Roman" w:hAnsi="Times New Roman" w:cs="Times New Roman"/>
          <w:sz w:val="26"/>
          <w:szCs w:val="26"/>
          <w:lang w:val="vi-VN"/>
        </w:rPr>
        <w:t>khoản 2 Điều 423 Bộ luật tố tụng hình sự 2015 cũng quy định về việc trường hợp đặc biệt cần bảo vệ bị cáo, bị hại là người dưới 18 tuổi thì Tòa án có thể quyết định xét xử kín.</w:t>
      </w:r>
      <w:r w:rsidR="004D6A63" w:rsidRPr="004D6A63">
        <w:rPr>
          <w:rFonts w:ascii="Times New Roman" w:hAnsi="Times New Roman" w:cs="Times New Roman"/>
          <w:sz w:val="26"/>
          <w:szCs w:val="26"/>
          <w:lang w:val="vi-VN"/>
        </w:rPr>
        <w:t xml:space="preserve"> Điểm d khoản 1 Điều 7 Thông tư số 02/2018/TT-TANDTC ngày 21/09/2018 cũng có hướng dẫn tương tự: </w:t>
      </w:r>
      <w:r w:rsidR="004D6A63" w:rsidRPr="004D6A63">
        <w:rPr>
          <w:rFonts w:ascii="Times New Roman" w:hAnsi="Times New Roman" w:cs="Times New Roman"/>
          <w:i/>
          <w:iCs/>
          <w:sz w:val="26"/>
          <w:szCs w:val="26"/>
          <w:lang w:val="vi-VN"/>
        </w:rPr>
        <w:t>"Đối với những vụ án có người bị hại là người dưới 18 tuổi bị xâm hại tình dục, bị bạo hành hoặc bị mua bán thì Tòa án phải xét xử kín; đối với những vụ án khác có yêu cầu của người dưới 18 tuổi, người đại diện của họ hoặc để giữ bí mật đời tư, bảo vệ người dưới 18 tuổi thì Tòa án cũng có thể xét xử kín nhưng phải tuyên án công khai theo quy định tại Điều 327 của Bộ luật Tố tụng hình sự;"</w:t>
      </w:r>
      <w:r w:rsidR="007218F9" w:rsidRPr="007218F9">
        <w:rPr>
          <w:rFonts w:ascii="Times New Roman" w:hAnsi="Times New Roman" w:cs="Times New Roman"/>
          <w:i/>
          <w:iCs/>
          <w:sz w:val="26"/>
          <w:szCs w:val="26"/>
          <w:lang w:val="vi-VN"/>
        </w:rPr>
        <w:t>.</w:t>
      </w:r>
      <w:r w:rsidR="007218F9" w:rsidRPr="007218F9">
        <w:rPr>
          <w:rFonts w:ascii="Times New Roman" w:hAnsi="Times New Roman" w:cs="Times New Roman"/>
          <w:sz w:val="26"/>
          <w:szCs w:val="26"/>
          <w:lang w:val="vi-VN"/>
        </w:rPr>
        <w:t xml:space="preserve"> Có thể thấy rằng, việc xét xử kín chỉ có thể được thực hiện theo yêu cầu của ngư</w:t>
      </w:r>
      <w:r w:rsidR="00DB691B" w:rsidRPr="00DB691B">
        <w:rPr>
          <w:rFonts w:ascii="Times New Roman" w:hAnsi="Times New Roman" w:cs="Times New Roman"/>
          <w:sz w:val="26"/>
          <w:szCs w:val="26"/>
          <w:lang w:val="vi-VN"/>
        </w:rPr>
        <w:t>ờ</w:t>
      </w:r>
      <w:r w:rsidR="007218F9" w:rsidRPr="007218F9">
        <w:rPr>
          <w:rFonts w:ascii="Times New Roman" w:hAnsi="Times New Roman" w:cs="Times New Roman"/>
          <w:sz w:val="26"/>
          <w:szCs w:val="26"/>
          <w:lang w:val="vi-VN"/>
        </w:rPr>
        <w:t>i chưa thành niên hoặc người đại diện của họ, không thuộ</w:t>
      </w:r>
      <w:r w:rsidR="007218F9" w:rsidRPr="00CD03EE">
        <w:rPr>
          <w:rFonts w:ascii="Times New Roman" w:hAnsi="Times New Roman" w:cs="Times New Roman"/>
          <w:sz w:val="26"/>
          <w:szCs w:val="26"/>
          <w:lang w:val="vi-VN"/>
        </w:rPr>
        <w:t>c</w:t>
      </w:r>
      <w:r w:rsidR="007218F9" w:rsidRPr="007218F9">
        <w:rPr>
          <w:rFonts w:ascii="Times New Roman" w:hAnsi="Times New Roman" w:cs="Times New Roman"/>
          <w:sz w:val="26"/>
          <w:szCs w:val="26"/>
          <w:lang w:val="vi-VN"/>
        </w:rPr>
        <w:t xml:space="preserve"> trường hợp đương nhiên được áp dụng.</w:t>
      </w:r>
    </w:p>
    <w:p w14:paraId="4A1CC77F" w14:textId="50B42ABE" w:rsidR="00F126FB" w:rsidRDefault="00980DC5" w:rsidP="00F126FB">
      <w:pPr>
        <w:spacing w:before="120" w:after="0" w:line="240" w:lineRule="auto"/>
        <w:ind w:firstLine="709"/>
        <w:jc w:val="both"/>
        <w:rPr>
          <w:rFonts w:ascii="Times New Roman" w:hAnsi="Times New Roman" w:cs="Times New Roman"/>
          <w:sz w:val="26"/>
          <w:szCs w:val="26"/>
          <w:lang w:val="vi-VN"/>
        </w:rPr>
      </w:pPr>
      <w:r w:rsidRPr="00980DC5">
        <w:rPr>
          <w:rFonts w:ascii="Times New Roman" w:hAnsi="Times New Roman" w:cs="Times New Roman"/>
          <w:sz w:val="26"/>
          <w:szCs w:val="26"/>
          <w:lang w:val="vi-VN"/>
        </w:rPr>
        <w:t>Trước thực trạng nêu trên</w:t>
      </w:r>
      <w:r w:rsidR="00825C22" w:rsidRPr="00825C22">
        <w:rPr>
          <w:rFonts w:ascii="Times New Roman" w:hAnsi="Times New Roman" w:cs="Times New Roman"/>
          <w:sz w:val="26"/>
          <w:szCs w:val="26"/>
          <w:lang w:val="vi-VN"/>
        </w:rPr>
        <w:t xml:space="preserve">, rất </w:t>
      </w:r>
      <w:r w:rsidR="00825C22" w:rsidRPr="001E66B0">
        <w:rPr>
          <w:rFonts w:ascii="Times New Roman" w:hAnsi="Times New Roman" w:cs="Times New Roman"/>
          <w:sz w:val="26"/>
          <w:szCs w:val="26"/>
          <w:lang w:val="vi-VN"/>
        </w:rPr>
        <w:t>c</w:t>
      </w:r>
      <w:r w:rsidR="004D75BF" w:rsidRPr="00B607E5">
        <w:rPr>
          <w:rFonts w:ascii="Times New Roman" w:hAnsi="Times New Roman" w:cs="Times New Roman"/>
          <w:sz w:val="26"/>
          <w:szCs w:val="26"/>
          <w:lang w:val="vi-VN"/>
        </w:rPr>
        <w:t xml:space="preserve">ần có </w:t>
      </w:r>
      <w:r w:rsidR="00B607E5" w:rsidRPr="00B607E5">
        <w:rPr>
          <w:rFonts w:ascii="Times New Roman" w:hAnsi="Times New Roman" w:cs="Times New Roman"/>
          <w:sz w:val="26"/>
          <w:szCs w:val="26"/>
          <w:lang w:val="vi-VN"/>
        </w:rPr>
        <w:t xml:space="preserve">cơ chế </w:t>
      </w:r>
      <w:r w:rsidRPr="00980DC5">
        <w:rPr>
          <w:rFonts w:ascii="Times New Roman" w:hAnsi="Times New Roman" w:cs="Times New Roman"/>
          <w:sz w:val="26"/>
          <w:szCs w:val="26"/>
          <w:lang w:val="vi-VN"/>
        </w:rPr>
        <w:t xml:space="preserve">bảo mật </w:t>
      </w:r>
      <w:r w:rsidR="00B607E5" w:rsidRPr="00B607E5">
        <w:rPr>
          <w:rFonts w:ascii="Times New Roman" w:hAnsi="Times New Roman" w:cs="Times New Roman"/>
          <w:sz w:val="26"/>
          <w:szCs w:val="26"/>
          <w:lang w:val="vi-VN"/>
        </w:rPr>
        <w:t>hồ sơ và hạn chế công khai, rò r</w:t>
      </w:r>
      <w:r w:rsidR="00B607E5" w:rsidRPr="00000286">
        <w:rPr>
          <w:rFonts w:ascii="Times New Roman" w:hAnsi="Times New Roman" w:cs="Times New Roman"/>
          <w:sz w:val="26"/>
          <w:szCs w:val="26"/>
          <w:lang w:val="vi-VN"/>
        </w:rPr>
        <w:t>ỉ</w:t>
      </w:r>
      <w:r w:rsidR="00B607E5" w:rsidRPr="00B607E5">
        <w:rPr>
          <w:rFonts w:ascii="Times New Roman" w:hAnsi="Times New Roman" w:cs="Times New Roman"/>
          <w:sz w:val="26"/>
          <w:szCs w:val="26"/>
          <w:lang w:val="vi-VN"/>
        </w:rPr>
        <w:t xml:space="preserve"> các thông tin liên</w:t>
      </w:r>
      <w:r w:rsidR="00000286" w:rsidRPr="00000286">
        <w:rPr>
          <w:rFonts w:ascii="Times New Roman" w:hAnsi="Times New Roman" w:cs="Times New Roman"/>
          <w:sz w:val="26"/>
          <w:szCs w:val="26"/>
          <w:lang w:val="vi-VN"/>
        </w:rPr>
        <w:t xml:space="preserve"> quan đến vụ án có người chưa thành niên phạm tội. </w:t>
      </w:r>
      <w:r w:rsidR="00292E6B" w:rsidRPr="00825C22">
        <w:rPr>
          <w:rFonts w:ascii="Times New Roman" w:hAnsi="Times New Roman" w:cs="Times New Roman"/>
          <w:sz w:val="26"/>
          <w:szCs w:val="26"/>
          <w:lang w:val="vi-VN"/>
        </w:rPr>
        <w:t xml:space="preserve">Cụ thể, </w:t>
      </w:r>
      <w:r w:rsidR="001E66B0" w:rsidRPr="001E66B0">
        <w:rPr>
          <w:rFonts w:ascii="Times New Roman" w:hAnsi="Times New Roman" w:cs="Times New Roman"/>
          <w:sz w:val="26"/>
          <w:szCs w:val="26"/>
          <w:lang w:val="vi-VN"/>
        </w:rPr>
        <w:t xml:space="preserve">có thể cân nhắc xây dựng quy định liên quan đến </w:t>
      </w:r>
      <w:r w:rsidR="004E2E36" w:rsidRPr="004E2E36">
        <w:rPr>
          <w:rFonts w:ascii="Times New Roman" w:hAnsi="Times New Roman" w:cs="Times New Roman"/>
          <w:sz w:val="26"/>
          <w:szCs w:val="26"/>
          <w:lang w:val="vi-VN"/>
        </w:rPr>
        <w:t>bảo mật</w:t>
      </w:r>
      <w:r w:rsidR="001E66B0" w:rsidRPr="001E66B0">
        <w:rPr>
          <w:rFonts w:ascii="Times New Roman" w:hAnsi="Times New Roman" w:cs="Times New Roman"/>
          <w:sz w:val="26"/>
          <w:szCs w:val="26"/>
          <w:lang w:val="vi-VN"/>
        </w:rPr>
        <w:t xml:space="preserve"> hồ sơ</w:t>
      </w:r>
      <w:r w:rsidR="004E2E36" w:rsidRPr="004E2E36">
        <w:rPr>
          <w:rFonts w:ascii="Times New Roman" w:hAnsi="Times New Roman" w:cs="Times New Roman"/>
          <w:sz w:val="26"/>
          <w:szCs w:val="26"/>
          <w:lang w:val="vi-VN"/>
        </w:rPr>
        <w:t xml:space="preserve"> và thông ti</w:t>
      </w:r>
      <w:r w:rsidR="004E2E36" w:rsidRPr="000E5547">
        <w:rPr>
          <w:rFonts w:ascii="Times New Roman" w:hAnsi="Times New Roman" w:cs="Times New Roman"/>
          <w:sz w:val="26"/>
          <w:szCs w:val="26"/>
          <w:lang w:val="vi-VN"/>
        </w:rPr>
        <w:t>n</w:t>
      </w:r>
      <w:r w:rsidR="001E66B0" w:rsidRPr="001E66B0">
        <w:rPr>
          <w:rFonts w:ascii="Times New Roman" w:hAnsi="Times New Roman" w:cs="Times New Roman"/>
          <w:sz w:val="26"/>
          <w:szCs w:val="26"/>
          <w:lang w:val="vi-VN"/>
        </w:rPr>
        <w:t xml:space="preserve"> của người chưa thành niên phạm tội như sau:</w:t>
      </w:r>
    </w:p>
    <w:p w14:paraId="23585A63" w14:textId="4102981D" w:rsidR="00F721DD" w:rsidRPr="00221EFC" w:rsidRDefault="00221EFC" w:rsidP="00221EFC">
      <w:pPr>
        <w:spacing w:before="120" w:after="0" w:line="240" w:lineRule="auto"/>
        <w:ind w:firstLine="709"/>
        <w:jc w:val="both"/>
        <w:rPr>
          <w:rFonts w:ascii="Times New Roman" w:hAnsi="Times New Roman" w:cs="Times New Roman"/>
          <w:sz w:val="26"/>
          <w:szCs w:val="26"/>
          <w:lang w:val="vi-VN"/>
        </w:rPr>
      </w:pPr>
      <w:r w:rsidRPr="00DE15B0">
        <w:rPr>
          <w:rFonts w:ascii="Times New Roman" w:hAnsi="Times New Roman" w:cs="Times New Roman"/>
          <w:i/>
          <w:iCs/>
          <w:sz w:val="26"/>
          <w:szCs w:val="26"/>
          <w:lang w:val="vi-VN"/>
        </w:rPr>
        <w:t>Một là,</w:t>
      </w:r>
      <w:r w:rsidRPr="00221EFC">
        <w:rPr>
          <w:rFonts w:ascii="Times New Roman" w:hAnsi="Times New Roman" w:cs="Times New Roman"/>
          <w:sz w:val="26"/>
          <w:szCs w:val="26"/>
          <w:lang w:val="vi-VN"/>
        </w:rPr>
        <w:t xml:space="preserve"> t</w:t>
      </w:r>
      <w:r w:rsidR="00F721DD" w:rsidRPr="00221EFC">
        <w:rPr>
          <w:rFonts w:ascii="Times New Roman" w:hAnsi="Times New Roman" w:cs="Times New Roman"/>
          <w:sz w:val="26"/>
          <w:szCs w:val="26"/>
          <w:lang w:val="vi-VN"/>
        </w:rPr>
        <w:t>oàn bộ hồ sơ vụ án có liên quan đến người chưa thành niên phải được bảo mật. Người tiến hành tố tụng, người tham gia tố tụng và các cá nhân, tổ chức khác được tiếp cận những tài liệu mật này đều phải cam kết tuân thủ không công khai thông tin, trường hợp tiết lộ thông tin thì phải chịu trách nhiệm theo quy định pháp luật.</w:t>
      </w:r>
      <w:r w:rsidR="009746D4" w:rsidRPr="00221EFC">
        <w:rPr>
          <w:rFonts w:ascii="Times New Roman" w:hAnsi="Times New Roman" w:cs="Times New Roman"/>
          <w:sz w:val="26"/>
          <w:szCs w:val="26"/>
          <w:lang w:val="vi-VN"/>
        </w:rPr>
        <w:t xml:space="preserve"> </w:t>
      </w:r>
      <w:r w:rsidR="00A676CA" w:rsidRPr="00221EFC">
        <w:rPr>
          <w:rFonts w:ascii="Times New Roman" w:hAnsi="Times New Roman" w:cs="Times New Roman"/>
          <w:sz w:val="26"/>
          <w:szCs w:val="26"/>
          <w:lang w:val="vi-VN"/>
        </w:rPr>
        <w:t>Đối với các vụ án có liên quan về cả người chưa thành niên và người đã thành niên thì phần hồ sơ liên quan đến người chưa thành niên trong vụ án đó cũng phải được áp dụng quy định về bảo mật.</w:t>
      </w:r>
    </w:p>
    <w:p w14:paraId="4320AB33" w14:textId="342122AE" w:rsidR="00A676CA" w:rsidRDefault="00B4014F" w:rsidP="00F126FB">
      <w:pPr>
        <w:spacing w:before="120" w:after="0" w:line="240" w:lineRule="auto"/>
        <w:ind w:firstLine="709"/>
        <w:jc w:val="both"/>
        <w:rPr>
          <w:rFonts w:ascii="Times New Roman" w:hAnsi="Times New Roman" w:cs="Times New Roman"/>
          <w:sz w:val="26"/>
          <w:szCs w:val="26"/>
          <w:lang w:val="vi-VN"/>
        </w:rPr>
      </w:pPr>
      <w:r w:rsidRPr="00DE15B0">
        <w:rPr>
          <w:rFonts w:ascii="Times New Roman" w:hAnsi="Times New Roman" w:cs="Times New Roman"/>
          <w:i/>
          <w:iCs/>
          <w:sz w:val="26"/>
          <w:szCs w:val="26"/>
          <w:lang w:val="vi-VN"/>
        </w:rPr>
        <w:t>Hai là,</w:t>
      </w:r>
      <w:r w:rsidR="0047182B" w:rsidRPr="00DB5269">
        <w:rPr>
          <w:rFonts w:ascii="Times New Roman" w:hAnsi="Times New Roman" w:cs="Times New Roman"/>
          <w:sz w:val="26"/>
          <w:szCs w:val="26"/>
          <w:lang w:val="vi-VN"/>
        </w:rPr>
        <w:t xml:space="preserve"> </w:t>
      </w:r>
      <w:r w:rsidRPr="00B4014F">
        <w:rPr>
          <w:rFonts w:ascii="Times New Roman" w:hAnsi="Times New Roman" w:cs="Times New Roman"/>
          <w:sz w:val="26"/>
          <w:szCs w:val="26"/>
          <w:lang w:val="vi-VN"/>
        </w:rPr>
        <w:t xml:space="preserve">đối </w:t>
      </w:r>
      <w:r w:rsidR="0047182B" w:rsidRPr="00DB5269">
        <w:rPr>
          <w:rFonts w:ascii="Times New Roman" w:hAnsi="Times New Roman" w:cs="Times New Roman"/>
          <w:sz w:val="26"/>
          <w:szCs w:val="26"/>
          <w:lang w:val="vi-VN"/>
        </w:rPr>
        <w:t xml:space="preserve">với </w:t>
      </w:r>
      <w:r w:rsidR="00DB5269" w:rsidRPr="00DB5269">
        <w:rPr>
          <w:rFonts w:ascii="Times New Roman" w:hAnsi="Times New Roman" w:cs="Times New Roman"/>
          <w:sz w:val="26"/>
          <w:szCs w:val="26"/>
          <w:lang w:val="vi-VN"/>
        </w:rPr>
        <w:t>các thông ti</w:t>
      </w:r>
      <w:r w:rsidR="00DB5269" w:rsidRPr="007B0772">
        <w:rPr>
          <w:rFonts w:ascii="Times New Roman" w:hAnsi="Times New Roman" w:cs="Times New Roman"/>
          <w:sz w:val="26"/>
          <w:szCs w:val="26"/>
          <w:lang w:val="vi-VN"/>
        </w:rPr>
        <w:t xml:space="preserve">n </w:t>
      </w:r>
      <w:r w:rsidR="007B0772" w:rsidRPr="007B0772">
        <w:rPr>
          <w:rFonts w:ascii="Times New Roman" w:hAnsi="Times New Roman" w:cs="Times New Roman"/>
          <w:sz w:val="26"/>
          <w:szCs w:val="26"/>
          <w:lang w:val="vi-VN"/>
        </w:rPr>
        <w:t>liên quan đến người chưa thành niên phạm tội, cơ quan tiến hành tố tụng phải không được công khai</w:t>
      </w:r>
      <w:r w:rsidR="003044BA" w:rsidRPr="003044BA">
        <w:rPr>
          <w:rFonts w:ascii="Times New Roman" w:hAnsi="Times New Roman" w:cs="Times New Roman"/>
          <w:sz w:val="26"/>
          <w:szCs w:val="26"/>
          <w:lang w:val="vi-VN"/>
        </w:rPr>
        <w:t xml:space="preserve">, đặc biệt tuyệt đối không công khai cho </w:t>
      </w:r>
      <w:r w:rsidR="008E27F4" w:rsidRPr="008E27F4">
        <w:rPr>
          <w:rFonts w:ascii="Times New Roman" w:hAnsi="Times New Roman" w:cs="Times New Roman"/>
          <w:sz w:val="26"/>
          <w:szCs w:val="26"/>
          <w:lang w:val="vi-VN"/>
        </w:rPr>
        <w:t xml:space="preserve">các </w:t>
      </w:r>
      <w:r w:rsidR="003044BA" w:rsidRPr="003044BA">
        <w:rPr>
          <w:rFonts w:ascii="Times New Roman" w:hAnsi="Times New Roman" w:cs="Times New Roman"/>
          <w:sz w:val="26"/>
          <w:szCs w:val="26"/>
          <w:lang w:val="vi-VN"/>
        </w:rPr>
        <w:t>cơ quan báo chí</w:t>
      </w:r>
      <w:r w:rsidR="00AB4A40" w:rsidRPr="00AB4A40">
        <w:rPr>
          <w:rFonts w:ascii="Times New Roman" w:hAnsi="Times New Roman" w:cs="Times New Roman"/>
          <w:sz w:val="26"/>
          <w:szCs w:val="26"/>
          <w:lang w:val="vi-VN"/>
        </w:rPr>
        <w:t>, truyền thông</w:t>
      </w:r>
      <w:r w:rsidR="007B0772" w:rsidRPr="007B0772">
        <w:rPr>
          <w:rFonts w:ascii="Times New Roman" w:hAnsi="Times New Roman" w:cs="Times New Roman"/>
          <w:sz w:val="26"/>
          <w:szCs w:val="26"/>
          <w:lang w:val="vi-VN"/>
        </w:rPr>
        <w:t>.</w:t>
      </w:r>
    </w:p>
    <w:p w14:paraId="73C99B31" w14:textId="5C559D9B" w:rsidR="00381AB9" w:rsidRPr="006162AC" w:rsidRDefault="001F1838" w:rsidP="002B21CF">
      <w:pPr>
        <w:spacing w:before="120" w:after="0" w:line="240" w:lineRule="auto"/>
        <w:ind w:firstLine="709"/>
        <w:jc w:val="both"/>
        <w:rPr>
          <w:rFonts w:ascii="Times New Roman" w:hAnsi="Times New Roman" w:cs="Times New Roman"/>
          <w:sz w:val="26"/>
          <w:szCs w:val="26"/>
          <w:lang w:val="vi-VN"/>
        </w:rPr>
      </w:pPr>
      <w:r w:rsidRPr="00DE15B0">
        <w:rPr>
          <w:rFonts w:ascii="Times New Roman" w:hAnsi="Times New Roman" w:cs="Times New Roman"/>
          <w:i/>
          <w:iCs/>
          <w:sz w:val="26"/>
          <w:szCs w:val="26"/>
          <w:lang w:val="vi-VN"/>
        </w:rPr>
        <w:lastRenderedPageBreak/>
        <w:t>Ba là,</w:t>
      </w:r>
      <w:r w:rsidRPr="001F1838">
        <w:rPr>
          <w:rFonts w:ascii="Times New Roman" w:hAnsi="Times New Roman" w:cs="Times New Roman"/>
          <w:sz w:val="26"/>
          <w:szCs w:val="26"/>
          <w:lang w:val="vi-VN"/>
        </w:rPr>
        <w:t xml:space="preserve"> </w:t>
      </w:r>
      <w:r w:rsidRPr="00DE15B0">
        <w:rPr>
          <w:rFonts w:ascii="Times New Roman" w:hAnsi="Times New Roman" w:cs="Times New Roman"/>
          <w:sz w:val="26"/>
          <w:szCs w:val="26"/>
          <w:lang w:val="vi-VN"/>
        </w:rPr>
        <w:t>c</w:t>
      </w:r>
      <w:r w:rsidR="000E5547" w:rsidRPr="000E5547">
        <w:rPr>
          <w:rFonts w:ascii="Times New Roman" w:hAnsi="Times New Roman" w:cs="Times New Roman"/>
          <w:sz w:val="26"/>
          <w:szCs w:val="26"/>
          <w:lang w:val="vi-VN"/>
        </w:rPr>
        <w:t xml:space="preserve">ác vụ án liên quan có bị can, bị cáo, bị hại là người chưa thành niên đều phải </w:t>
      </w:r>
      <w:r w:rsidR="004F63C7" w:rsidRPr="004F63C7">
        <w:rPr>
          <w:rFonts w:ascii="Times New Roman" w:hAnsi="Times New Roman" w:cs="Times New Roman"/>
          <w:sz w:val="26"/>
          <w:szCs w:val="26"/>
          <w:lang w:val="vi-VN"/>
        </w:rPr>
        <w:t xml:space="preserve">đương nhiên </w:t>
      </w:r>
      <w:r w:rsidR="000E5547" w:rsidRPr="000E5547">
        <w:rPr>
          <w:rFonts w:ascii="Times New Roman" w:hAnsi="Times New Roman" w:cs="Times New Roman"/>
          <w:sz w:val="26"/>
          <w:szCs w:val="26"/>
          <w:lang w:val="vi-VN"/>
        </w:rPr>
        <w:t>được xét xử kín theo quy định pháp luật.</w:t>
      </w:r>
    </w:p>
    <w:p w14:paraId="10A0562E" w14:textId="190B9533" w:rsidR="00856C45" w:rsidRPr="00502C6B" w:rsidRDefault="00CD0104" w:rsidP="00502C6B">
      <w:pPr>
        <w:spacing w:before="120" w:after="0" w:line="240" w:lineRule="auto"/>
        <w:ind w:firstLine="709"/>
        <w:jc w:val="both"/>
        <w:rPr>
          <w:rFonts w:ascii="Times New Roman" w:hAnsi="Times New Roman" w:cs="Times New Roman"/>
          <w:b/>
          <w:bCs/>
          <w:i/>
          <w:iCs/>
          <w:sz w:val="26"/>
          <w:szCs w:val="26"/>
          <w:lang w:val="vi-VN"/>
        </w:rPr>
      </w:pPr>
      <w:r w:rsidRPr="004448BE">
        <w:rPr>
          <w:rFonts w:ascii="Times New Roman" w:hAnsi="Times New Roman" w:cs="Times New Roman"/>
          <w:b/>
          <w:bCs/>
          <w:i/>
          <w:iCs/>
          <w:sz w:val="26"/>
          <w:szCs w:val="26"/>
          <w:lang w:val="vi-VN"/>
        </w:rPr>
        <w:t>3.</w:t>
      </w:r>
      <w:r w:rsidR="008413A6" w:rsidRPr="004448BE">
        <w:rPr>
          <w:rFonts w:ascii="Times New Roman" w:hAnsi="Times New Roman" w:cs="Times New Roman"/>
          <w:b/>
          <w:bCs/>
          <w:i/>
          <w:iCs/>
          <w:sz w:val="26"/>
          <w:szCs w:val="26"/>
          <w:lang w:val="vi-VN"/>
        </w:rPr>
        <w:t xml:space="preserve">4. </w:t>
      </w:r>
      <w:r w:rsidR="004448BE" w:rsidRPr="004448BE">
        <w:rPr>
          <w:rFonts w:ascii="Times New Roman" w:hAnsi="Times New Roman" w:cs="Times New Roman"/>
          <w:b/>
          <w:bCs/>
          <w:i/>
          <w:iCs/>
          <w:sz w:val="26"/>
          <w:szCs w:val="26"/>
          <w:lang w:val="vi-VN"/>
        </w:rPr>
        <w:t xml:space="preserve">Nghiên cứu </w:t>
      </w:r>
      <w:r w:rsidR="00DD16FC" w:rsidRPr="00DD16FC">
        <w:rPr>
          <w:rFonts w:ascii="Times New Roman" w:hAnsi="Times New Roman" w:cs="Times New Roman"/>
          <w:b/>
          <w:bCs/>
          <w:i/>
          <w:iCs/>
          <w:sz w:val="26"/>
          <w:szCs w:val="26"/>
          <w:lang w:val="vi-VN"/>
        </w:rPr>
        <w:t>sửa đổi, bổ sung quy định về</w:t>
      </w:r>
      <w:r w:rsidR="004448BE" w:rsidRPr="004448BE">
        <w:rPr>
          <w:rFonts w:ascii="Times New Roman" w:hAnsi="Times New Roman" w:cs="Times New Roman"/>
          <w:b/>
          <w:bCs/>
          <w:i/>
          <w:iCs/>
          <w:sz w:val="26"/>
          <w:szCs w:val="26"/>
          <w:lang w:val="vi-VN"/>
        </w:rPr>
        <w:t xml:space="preserve"> lý lịch tư pháp của người chưa thành niê</w:t>
      </w:r>
      <w:r w:rsidR="00502C6B" w:rsidRPr="00502C6B">
        <w:rPr>
          <w:rFonts w:ascii="Times New Roman" w:hAnsi="Times New Roman" w:cs="Times New Roman"/>
          <w:b/>
          <w:bCs/>
          <w:i/>
          <w:iCs/>
          <w:sz w:val="26"/>
          <w:szCs w:val="26"/>
          <w:lang w:val="vi-VN"/>
        </w:rPr>
        <w:t>n</w:t>
      </w:r>
    </w:p>
    <w:p w14:paraId="5258F53D" w14:textId="7D5C9E7D" w:rsidR="008413A6" w:rsidRDefault="008413A6" w:rsidP="00955393">
      <w:pPr>
        <w:spacing w:before="120" w:after="0" w:line="240" w:lineRule="auto"/>
        <w:ind w:firstLine="709"/>
        <w:jc w:val="both"/>
        <w:rPr>
          <w:rFonts w:ascii="Times New Roman" w:hAnsi="Times New Roman" w:cs="Times New Roman"/>
          <w:sz w:val="26"/>
          <w:szCs w:val="26"/>
          <w:lang w:val="vi-VN"/>
        </w:rPr>
      </w:pPr>
      <w:r w:rsidRPr="004448BE">
        <w:rPr>
          <w:rFonts w:ascii="Times New Roman" w:hAnsi="Times New Roman" w:cs="Times New Roman"/>
          <w:sz w:val="26"/>
          <w:szCs w:val="26"/>
          <w:lang w:val="vi-VN"/>
        </w:rPr>
        <w:t>Để bảo mật tối đa thông tin của người chưa thành niên phạm tội thì</w:t>
      </w:r>
      <w:r w:rsidR="004C2F29" w:rsidRPr="004C2F29">
        <w:rPr>
          <w:rFonts w:ascii="Times New Roman" w:hAnsi="Times New Roman" w:cs="Times New Roman"/>
          <w:sz w:val="26"/>
          <w:szCs w:val="26"/>
          <w:lang w:val="vi-VN"/>
        </w:rPr>
        <w:t xml:space="preserve"> việc </w:t>
      </w:r>
      <w:r w:rsidR="007A4C84" w:rsidRPr="007A4C84">
        <w:rPr>
          <w:rFonts w:ascii="Times New Roman" w:hAnsi="Times New Roman" w:cs="Times New Roman"/>
          <w:sz w:val="26"/>
          <w:szCs w:val="26"/>
          <w:lang w:val="vi-VN"/>
        </w:rPr>
        <w:t>ghi</w:t>
      </w:r>
      <w:r w:rsidR="005E57ED" w:rsidRPr="005E57ED">
        <w:rPr>
          <w:rFonts w:ascii="Times New Roman" w:hAnsi="Times New Roman" w:cs="Times New Roman"/>
          <w:sz w:val="26"/>
          <w:szCs w:val="26"/>
          <w:lang w:val="vi-VN"/>
        </w:rPr>
        <w:t xml:space="preserve"> thông tin đã từng bị kết án theo</w:t>
      </w:r>
      <w:r w:rsidRPr="004448BE">
        <w:rPr>
          <w:rFonts w:ascii="Times New Roman" w:hAnsi="Times New Roman" w:cs="Times New Roman"/>
          <w:sz w:val="26"/>
          <w:szCs w:val="26"/>
          <w:lang w:val="vi-VN"/>
        </w:rPr>
        <w:t xml:space="preserve"> lý lịch tư pháp cũng là vấn đề cần được xem xét đến. Theo </w:t>
      </w:r>
      <w:r w:rsidR="00820985" w:rsidRPr="00820985">
        <w:rPr>
          <w:rFonts w:ascii="Times New Roman" w:hAnsi="Times New Roman" w:cs="Times New Roman"/>
          <w:sz w:val="26"/>
          <w:szCs w:val="26"/>
          <w:lang w:val="vi-VN"/>
        </w:rPr>
        <w:t xml:space="preserve">khoản </w:t>
      </w:r>
      <w:r w:rsidR="00820985" w:rsidRPr="0058683A">
        <w:rPr>
          <w:rFonts w:ascii="Times New Roman" w:hAnsi="Times New Roman" w:cs="Times New Roman"/>
          <w:sz w:val="26"/>
          <w:szCs w:val="26"/>
          <w:lang w:val="vi-VN"/>
        </w:rPr>
        <w:t>2</w:t>
      </w:r>
      <w:r w:rsidR="0058683A" w:rsidRPr="0058683A">
        <w:rPr>
          <w:rFonts w:ascii="Times New Roman" w:hAnsi="Times New Roman" w:cs="Times New Roman"/>
          <w:sz w:val="26"/>
          <w:szCs w:val="26"/>
          <w:lang w:val="vi-VN"/>
        </w:rPr>
        <w:t xml:space="preserve"> </w:t>
      </w:r>
      <w:r w:rsidRPr="004448BE">
        <w:rPr>
          <w:rFonts w:ascii="Times New Roman" w:hAnsi="Times New Roman" w:cs="Times New Roman"/>
          <w:sz w:val="26"/>
          <w:szCs w:val="26"/>
          <w:lang w:val="vi-VN"/>
        </w:rPr>
        <w:t>Điều 43 Luật lý lịch tư pháp 2009,</w:t>
      </w:r>
      <w:r w:rsidR="006C1F2E" w:rsidRPr="006C1F2E">
        <w:rPr>
          <w:rFonts w:ascii="Times New Roman" w:hAnsi="Times New Roman" w:cs="Times New Roman"/>
          <w:sz w:val="26"/>
          <w:szCs w:val="26"/>
          <w:lang w:val="vi-VN"/>
        </w:rPr>
        <w:t xml:space="preserve"> hướng dẫn bởi khoản 2 Điều 14 Thông tư số</w:t>
      </w:r>
      <w:r w:rsidR="00A00D0E" w:rsidRPr="00A00D0E">
        <w:rPr>
          <w:rFonts w:ascii="Times New Roman" w:hAnsi="Times New Roman" w:cs="Times New Roman"/>
          <w:sz w:val="26"/>
          <w:szCs w:val="26"/>
          <w:lang w:val="vi-VN"/>
        </w:rPr>
        <w:t xml:space="preserve"> 13/2011/TT-BTP thì</w:t>
      </w:r>
      <w:r w:rsidR="0051611D" w:rsidRPr="0051611D">
        <w:rPr>
          <w:rFonts w:ascii="Times New Roman" w:hAnsi="Times New Roman" w:cs="Times New Roman"/>
          <w:sz w:val="26"/>
          <w:szCs w:val="26"/>
          <w:lang w:val="vi-VN"/>
        </w:rPr>
        <w:t xml:space="preserve"> trong Phiếu lý lịch tư pháp số 2,</w:t>
      </w:r>
      <w:r w:rsidR="00A00D0E" w:rsidRPr="00A00D0E">
        <w:rPr>
          <w:rFonts w:ascii="Times New Roman" w:hAnsi="Times New Roman" w:cs="Times New Roman"/>
          <w:sz w:val="26"/>
          <w:szCs w:val="26"/>
          <w:lang w:val="vi-VN"/>
        </w:rPr>
        <w:t xml:space="preserve"> chỉ người không bị kết án mới được ghi là </w:t>
      </w:r>
      <w:r w:rsidR="00A00D0E" w:rsidRPr="00A00D0E">
        <w:rPr>
          <w:rFonts w:ascii="Times New Roman" w:hAnsi="Times New Roman" w:cs="Times New Roman"/>
          <w:i/>
          <w:iCs/>
          <w:sz w:val="26"/>
          <w:szCs w:val="26"/>
          <w:lang w:val="vi-VN"/>
        </w:rPr>
        <w:t>"không có án tích"</w:t>
      </w:r>
      <w:r w:rsidR="0051611D" w:rsidRPr="0051611D">
        <w:rPr>
          <w:rFonts w:ascii="Times New Roman" w:hAnsi="Times New Roman" w:cs="Times New Roman"/>
          <w:sz w:val="26"/>
          <w:szCs w:val="26"/>
          <w:lang w:val="vi-VN"/>
        </w:rPr>
        <w:t xml:space="preserve">. </w:t>
      </w:r>
      <w:r w:rsidR="00713036" w:rsidRPr="00713036">
        <w:rPr>
          <w:rFonts w:ascii="Times New Roman" w:hAnsi="Times New Roman" w:cs="Times New Roman"/>
          <w:sz w:val="26"/>
          <w:szCs w:val="26"/>
          <w:lang w:val="vi-VN"/>
        </w:rPr>
        <w:t>Đối với người đã bị kết án thì ghi đầy đủ án tích đã được xoá, thời điểm được xoá án tích, án tích chưa được xóa, ngày, tháng, năm tuyên án, số bản án, Toà án đã tuyên bản án, tội danh, điều khoản luật được áp dụng, hình phạt chính, hình phạt bổ sung, nghĩa vụ dân sự trong bản án hình sự, án phí, tình trạng thi hành án</w:t>
      </w:r>
      <w:r w:rsidR="0051611D" w:rsidRPr="0051611D">
        <w:rPr>
          <w:rFonts w:ascii="Times New Roman" w:hAnsi="Times New Roman" w:cs="Times New Roman"/>
          <w:sz w:val="26"/>
          <w:szCs w:val="26"/>
          <w:lang w:val="vi-VN"/>
        </w:rPr>
        <w:t>.</w:t>
      </w:r>
      <w:r w:rsidR="005575C5" w:rsidRPr="005575C5">
        <w:rPr>
          <w:rFonts w:ascii="Times New Roman" w:hAnsi="Times New Roman" w:cs="Times New Roman"/>
          <w:sz w:val="26"/>
          <w:szCs w:val="26"/>
          <w:lang w:val="vi-VN"/>
        </w:rPr>
        <w:t xml:space="preserve"> Như vậy, thông tin về việc người chưa thành niên</w:t>
      </w:r>
      <w:r w:rsidR="005575C5" w:rsidRPr="00713036">
        <w:rPr>
          <w:rFonts w:ascii="Times New Roman" w:hAnsi="Times New Roman" w:cs="Times New Roman"/>
          <w:sz w:val="26"/>
          <w:szCs w:val="26"/>
          <w:lang w:val="vi-VN"/>
        </w:rPr>
        <w:t xml:space="preserve"> phạm tội</w:t>
      </w:r>
      <w:r w:rsidR="006723AB" w:rsidRPr="006723AB">
        <w:rPr>
          <w:rFonts w:ascii="Times New Roman" w:hAnsi="Times New Roman" w:cs="Times New Roman"/>
          <w:sz w:val="26"/>
          <w:szCs w:val="26"/>
          <w:lang w:val="vi-VN"/>
        </w:rPr>
        <w:t xml:space="preserve"> sẽ vẫn đư</w:t>
      </w:r>
      <w:r w:rsidR="006723AB" w:rsidRPr="001253C7">
        <w:rPr>
          <w:rFonts w:ascii="Times New Roman" w:hAnsi="Times New Roman" w:cs="Times New Roman"/>
          <w:sz w:val="26"/>
          <w:szCs w:val="26"/>
          <w:lang w:val="vi-VN"/>
        </w:rPr>
        <w:t>ợc</w:t>
      </w:r>
      <w:r w:rsidR="00713036" w:rsidRPr="00713036">
        <w:rPr>
          <w:rFonts w:ascii="Times New Roman" w:hAnsi="Times New Roman" w:cs="Times New Roman"/>
          <w:sz w:val="26"/>
          <w:szCs w:val="26"/>
          <w:lang w:val="vi-VN"/>
        </w:rPr>
        <w:t xml:space="preserve"> thể hiện rõ tại </w:t>
      </w:r>
      <w:r w:rsidR="001253C7" w:rsidRPr="001253C7">
        <w:rPr>
          <w:rFonts w:ascii="Times New Roman" w:hAnsi="Times New Roman" w:cs="Times New Roman"/>
          <w:sz w:val="26"/>
          <w:szCs w:val="26"/>
          <w:lang w:val="vi-VN"/>
        </w:rPr>
        <w:t xml:space="preserve">Phiếu lý lịch tư pháp số 2. </w:t>
      </w:r>
      <w:r w:rsidRPr="004448BE">
        <w:rPr>
          <w:rFonts w:ascii="Times New Roman" w:hAnsi="Times New Roman" w:cs="Times New Roman"/>
          <w:sz w:val="26"/>
          <w:szCs w:val="26"/>
          <w:lang w:val="vi-VN"/>
        </w:rPr>
        <w:t xml:space="preserve">Điều này gây cản trở rất lớn đối với các cơ hội của người chưa thành niên khi tiếp cận đối với các công việc nhà tuyển dụng đòi hỏi phải cung cấp phiếu lý lịch tư pháp số 2 hoặc </w:t>
      </w:r>
      <w:r w:rsidR="006C54FC" w:rsidRPr="006C54FC">
        <w:rPr>
          <w:rFonts w:ascii="Times New Roman" w:hAnsi="Times New Roman" w:cs="Times New Roman"/>
          <w:sz w:val="26"/>
          <w:szCs w:val="26"/>
          <w:lang w:val="vi-VN"/>
        </w:rPr>
        <w:t>theo yêu cầu của các cơ quan khác của</w:t>
      </w:r>
      <w:r w:rsidRPr="004448BE">
        <w:rPr>
          <w:rFonts w:ascii="Times New Roman" w:hAnsi="Times New Roman" w:cs="Times New Roman"/>
          <w:sz w:val="26"/>
          <w:szCs w:val="26"/>
          <w:lang w:val="vi-VN"/>
        </w:rPr>
        <w:t xml:space="preserve"> hoạt động khác </w:t>
      </w:r>
      <w:r w:rsidR="00EB45BF" w:rsidRPr="00EB45BF">
        <w:rPr>
          <w:rFonts w:ascii="Times New Roman" w:hAnsi="Times New Roman" w:cs="Times New Roman"/>
          <w:sz w:val="26"/>
          <w:szCs w:val="26"/>
          <w:lang w:val="vi-VN"/>
        </w:rPr>
        <w:t xml:space="preserve">cần Phiếu lý lịch tư pháp số </w:t>
      </w:r>
      <w:r w:rsidR="00EB45BF" w:rsidRPr="00C766CB">
        <w:rPr>
          <w:rFonts w:ascii="Times New Roman" w:hAnsi="Times New Roman" w:cs="Times New Roman"/>
          <w:sz w:val="26"/>
          <w:szCs w:val="26"/>
          <w:lang w:val="vi-VN"/>
        </w:rPr>
        <w:t>2</w:t>
      </w:r>
      <w:r w:rsidRPr="004448BE">
        <w:rPr>
          <w:rFonts w:ascii="Times New Roman" w:hAnsi="Times New Roman" w:cs="Times New Roman"/>
          <w:sz w:val="26"/>
          <w:szCs w:val="26"/>
          <w:lang w:val="vi-VN"/>
        </w:rPr>
        <w:t>.</w:t>
      </w:r>
    </w:p>
    <w:p w14:paraId="0436BD77" w14:textId="50F2F613" w:rsidR="005E57ED" w:rsidRPr="009C7711" w:rsidRDefault="000D5394" w:rsidP="00E06CA6">
      <w:pPr>
        <w:spacing w:before="120" w:after="0" w:line="240" w:lineRule="auto"/>
        <w:ind w:firstLine="709"/>
        <w:jc w:val="both"/>
        <w:rPr>
          <w:rFonts w:ascii="Times New Roman" w:hAnsi="Times New Roman" w:cs="Times New Roman"/>
          <w:sz w:val="26"/>
          <w:szCs w:val="26"/>
          <w:lang w:val="vi-VN"/>
        </w:rPr>
      </w:pPr>
      <w:r w:rsidRPr="000D5394">
        <w:rPr>
          <w:rFonts w:ascii="Times New Roman" w:hAnsi="Times New Roman" w:cs="Times New Roman"/>
          <w:sz w:val="26"/>
          <w:szCs w:val="26"/>
          <w:lang w:val="vi-VN"/>
        </w:rPr>
        <w:t xml:space="preserve">Kể từ khi Bộ luật hình sự 2015, sửa đổi bổ sung năm 2017 có hiệu lực </w:t>
      </w:r>
      <w:r w:rsidR="00E06CA6" w:rsidRPr="00E06CA6">
        <w:rPr>
          <w:rFonts w:ascii="Times New Roman" w:hAnsi="Times New Roman" w:cs="Times New Roman"/>
          <w:sz w:val="26"/>
          <w:szCs w:val="26"/>
          <w:lang w:val="vi-VN"/>
        </w:rPr>
        <w:t xml:space="preserve">quy định tại khoản 1 Điều 107 như sau: Người dưới 18 tuổi bị kết án được coi là không có án tích, nếu thuộc một trong các trường hợp sau đây: </w:t>
      </w:r>
      <w:r w:rsidR="009F24CF" w:rsidRPr="002B0B86">
        <w:rPr>
          <w:rFonts w:ascii="Times New Roman" w:hAnsi="Times New Roman" w:cs="Times New Roman"/>
          <w:i/>
          <w:iCs/>
          <w:sz w:val="26"/>
          <w:szCs w:val="26"/>
          <w:lang w:val="vi-VN"/>
        </w:rPr>
        <w:t>"</w:t>
      </w:r>
      <w:r w:rsidR="00E06CA6" w:rsidRPr="002B0B86">
        <w:rPr>
          <w:rFonts w:ascii="Times New Roman" w:hAnsi="Times New Roman" w:cs="Times New Roman"/>
          <w:i/>
          <w:iCs/>
          <w:sz w:val="26"/>
          <w:szCs w:val="26"/>
          <w:lang w:val="vi-VN"/>
        </w:rPr>
        <w:t>(a) Người từ đủ 14 tuổi đến dưới 16 tuổi; (b) Người từ đủ 16 tuổi đến dưới 18 tuổi bị kết án về tội phạm ít nghiêm trọng, tội phạm nghiêm trọng hoặc tội phạm rất nghiêm trọng do vô ý; (c) Người bị áp dụng biện pháp tư pháp</w:t>
      </w:r>
      <w:r w:rsidR="009F24CF" w:rsidRPr="002B0B86">
        <w:rPr>
          <w:rFonts w:ascii="Times New Roman" w:hAnsi="Times New Roman" w:cs="Times New Roman"/>
          <w:i/>
          <w:iCs/>
          <w:sz w:val="26"/>
          <w:szCs w:val="26"/>
          <w:lang w:val="vi-VN"/>
        </w:rPr>
        <w:t>"</w:t>
      </w:r>
      <w:r w:rsidR="004B5BC8" w:rsidRPr="004B5BC8">
        <w:rPr>
          <w:rFonts w:ascii="Times New Roman" w:hAnsi="Times New Roman" w:cs="Times New Roman"/>
          <w:sz w:val="26"/>
          <w:szCs w:val="26"/>
          <w:lang w:val="vi-VN"/>
        </w:rPr>
        <w:t xml:space="preserve">. </w:t>
      </w:r>
      <w:r w:rsidR="00B55570" w:rsidRPr="00B55570">
        <w:rPr>
          <w:rFonts w:ascii="Times New Roman" w:hAnsi="Times New Roman" w:cs="Times New Roman"/>
          <w:sz w:val="26"/>
          <w:szCs w:val="26"/>
          <w:lang w:val="vi-VN"/>
        </w:rPr>
        <w:t>Nếu chiếu</w:t>
      </w:r>
      <w:r w:rsidR="00B55570" w:rsidRPr="00DF7AEA">
        <w:rPr>
          <w:rFonts w:ascii="Times New Roman" w:hAnsi="Times New Roman" w:cs="Times New Roman"/>
          <w:sz w:val="26"/>
          <w:szCs w:val="26"/>
          <w:lang w:val="vi-VN"/>
        </w:rPr>
        <w:t xml:space="preserve"> theo quy định này</w:t>
      </w:r>
      <w:r w:rsidR="00DF7AEA" w:rsidRPr="00DF7AEA">
        <w:rPr>
          <w:rFonts w:ascii="Times New Roman" w:hAnsi="Times New Roman" w:cs="Times New Roman"/>
          <w:sz w:val="26"/>
          <w:szCs w:val="26"/>
          <w:lang w:val="vi-VN"/>
        </w:rPr>
        <w:t>, người chưa thành niên đã bị kết án nếu thuộc các trường hợp không quá nghiêm trọng nêu trên thì sẽ</w:t>
      </w:r>
      <w:r w:rsidR="003C71AB" w:rsidRPr="003C71AB">
        <w:rPr>
          <w:rFonts w:ascii="Times New Roman" w:hAnsi="Times New Roman" w:cs="Times New Roman"/>
          <w:sz w:val="26"/>
          <w:szCs w:val="26"/>
          <w:lang w:val="vi-VN"/>
        </w:rPr>
        <w:t xml:space="preserve"> được coi là không có án tích. Đáng lẽ ra, theo cách hiểu thông thường thì Phiếu lý lịch tư pháp số 2 của họ cũng phải được ghi là </w:t>
      </w:r>
      <w:r w:rsidR="003C71AB" w:rsidRPr="003C71AB">
        <w:rPr>
          <w:rFonts w:ascii="Times New Roman" w:hAnsi="Times New Roman" w:cs="Times New Roman"/>
          <w:i/>
          <w:iCs/>
          <w:sz w:val="26"/>
          <w:szCs w:val="26"/>
          <w:lang w:val="vi-VN"/>
        </w:rPr>
        <w:t>"không có án tích"</w:t>
      </w:r>
      <w:r w:rsidR="003C71AB" w:rsidRPr="003C71AB">
        <w:rPr>
          <w:rFonts w:ascii="Times New Roman" w:hAnsi="Times New Roman" w:cs="Times New Roman"/>
          <w:sz w:val="26"/>
          <w:szCs w:val="26"/>
          <w:lang w:val="vi-VN"/>
        </w:rPr>
        <w:t xml:space="preserve">. </w:t>
      </w:r>
      <w:r w:rsidR="00DB7CD2" w:rsidRPr="00DB7CD2">
        <w:rPr>
          <w:rFonts w:ascii="Times New Roman" w:hAnsi="Times New Roman" w:cs="Times New Roman"/>
          <w:sz w:val="26"/>
          <w:szCs w:val="26"/>
          <w:lang w:val="vi-VN"/>
        </w:rPr>
        <w:t xml:space="preserve">Tuy nhiên, do Bộ luật hình sự 2015 sửa đổi, bổ sung năm 2017 </w:t>
      </w:r>
      <w:r w:rsidR="00A443C6" w:rsidRPr="00A443C6">
        <w:rPr>
          <w:rFonts w:ascii="Times New Roman" w:hAnsi="Times New Roman" w:cs="Times New Roman"/>
          <w:sz w:val="26"/>
          <w:szCs w:val="26"/>
          <w:lang w:val="vi-VN"/>
        </w:rPr>
        <w:t>ban hành sau Luật lý lịch tư pháp 2009 và hiện tại vẫn chưa có hướng dẫn</w:t>
      </w:r>
      <w:r w:rsidR="00367A37" w:rsidRPr="00367A37">
        <w:rPr>
          <w:rFonts w:ascii="Times New Roman" w:hAnsi="Times New Roman" w:cs="Times New Roman"/>
          <w:sz w:val="26"/>
          <w:szCs w:val="26"/>
          <w:lang w:val="vi-VN"/>
        </w:rPr>
        <w:t xml:space="preserve"> rõ r</w:t>
      </w:r>
      <w:r w:rsidR="00367A37" w:rsidRPr="00D317BE">
        <w:rPr>
          <w:rFonts w:ascii="Times New Roman" w:hAnsi="Times New Roman" w:cs="Times New Roman"/>
          <w:sz w:val="26"/>
          <w:szCs w:val="26"/>
          <w:lang w:val="vi-VN"/>
        </w:rPr>
        <w:t>àng</w:t>
      </w:r>
      <w:r w:rsidR="00A443C6" w:rsidRPr="00A443C6">
        <w:rPr>
          <w:rFonts w:ascii="Times New Roman" w:hAnsi="Times New Roman" w:cs="Times New Roman"/>
          <w:sz w:val="26"/>
          <w:szCs w:val="26"/>
          <w:lang w:val="vi-VN"/>
        </w:rPr>
        <w:t xml:space="preserve"> về việc ghi </w:t>
      </w:r>
      <w:r w:rsidR="00367A37" w:rsidRPr="00367A37">
        <w:rPr>
          <w:rFonts w:ascii="Times New Roman" w:hAnsi="Times New Roman" w:cs="Times New Roman"/>
          <w:sz w:val="26"/>
          <w:szCs w:val="26"/>
          <w:lang w:val="vi-VN"/>
        </w:rPr>
        <w:t xml:space="preserve">phiếu lý lịch tư pháp trong trường hợp </w:t>
      </w:r>
      <w:r w:rsidR="00367A37" w:rsidRPr="00367A37">
        <w:rPr>
          <w:rFonts w:ascii="Times New Roman" w:hAnsi="Times New Roman" w:cs="Times New Roman"/>
          <w:i/>
          <w:iCs/>
          <w:sz w:val="26"/>
          <w:szCs w:val="26"/>
          <w:lang w:val="vi-VN"/>
        </w:rPr>
        <w:t>"được coi là không có án tích"</w:t>
      </w:r>
      <w:r w:rsidR="00367A37" w:rsidRPr="00367A37">
        <w:rPr>
          <w:rFonts w:ascii="Times New Roman" w:hAnsi="Times New Roman" w:cs="Times New Roman"/>
          <w:sz w:val="26"/>
          <w:szCs w:val="26"/>
          <w:lang w:val="vi-VN"/>
        </w:rPr>
        <w:t>.</w:t>
      </w:r>
      <w:r w:rsidR="00F62E99" w:rsidRPr="00F62E99">
        <w:rPr>
          <w:rFonts w:ascii="Times New Roman" w:hAnsi="Times New Roman" w:cs="Times New Roman"/>
          <w:sz w:val="26"/>
          <w:szCs w:val="26"/>
          <w:lang w:val="vi-VN"/>
        </w:rPr>
        <w:t xml:space="preserve"> </w:t>
      </w:r>
      <w:r w:rsidR="00F62E99" w:rsidRPr="002022D8">
        <w:rPr>
          <w:rFonts w:ascii="Times New Roman" w:hAnsi="Times New Roman" w:cs="Times New Roman"/>
          <w:sz w:val="26"/>
          <w:szCs w:val="26"/>
          <w:lang w:val="vi-VN"/>
        </w:rPr>
        <w:t xml:space="preserve">Mặt khác, </w:t>
      </w:r>
      <w:r w:rsidR="002022D8" w:rsidRPr="002022D8">
        <w:rPr>
          <w:rFonts w:ascii="Times New Roman" w:hAnsi="Times New Roman" w:cs="Times New Roman"/>
          <w:sz w:val="26"/>
          <w:szCs w:val="26"/>
          <w:lang w:val="vi-VN"/>
        </w:rPr>
        <w:t>Điều 107 của Bộ luật hình sự</w:t>
      </w:r>
      <w:r w:rsidR="006105AB" w:rsidRPr="006105AB">
        <w:rPr>
          <w:rFonts w:ascii="Times New Roman" w:hAnsi="Times New Roman" w:cs="Times New Roman"/>
          <w:sz w:val="26"/>
          <w:szCs w:val="26"/>
          <w:lang w:val="vi-VN"/>
        </w:rPr>
        <w:t xml:space="preserve"> nêu trên quy định</w:t>
      </w:r>
      <w:r w:rsidR="002022D8" w:rsidRPr="002022D8">
        <w:rPr>
          <w:rFonts w:ascii="Times New Roman" w:hAnsi="Times New Roman" w:cs="Times New Roman"/>
          <w:sz w:val="26"/>
          <w:szCs w:val="26"/>
          <w:lang w:val="vi-VN"/>
        </w:rPr>
        <w:t xml:space="preserve"> </w:t>
      </w:r>
      <w:r w:rsidR="006105AB" w:rsidRPr="006105AB">
        <w:rPr>
          <w:rFonts w:ascii="Times New Roman" w:hAnsi="Times New Roman" w:cs="Times New Roman"/>
          <w:sz w:val="26"/>
          <w:szCs w:val="26"/>
          <w:lang w:val="vi-VN"/>
        </w:rPr>
        <w:t>về vi</w:t>
      </w:r>
      <w:r w:rsidR="006105AB" w:rsidRPr="00F15017">
        <w:rPr>
          <w:rFonts w:ascii="Times New Roman" w:hAnsi="Times New Roman" w:cs="Times New Roman"/>
          <w:sz w:val="26"/>
          <w:szCs w:val="26"/>
          <w:lang w:val="vi-VN"/>
        </w:rPr>
        <w:t>ệc</w:t>
      </w:r>
      <w:r w:rsidR="002022D8" w:rsidRPr="002022D8">
        <w:rPr>
          <w:rFonts w:ascii="Times New Roman" w:hAnsi="Times New Roman" w:cs="Times New Roman"/>
          <w:sz w:val="26"/>
          <w:szCs w:val="26"/>
          <w:lang w:val="vi-VN"/>
        </w:rPr>
        <w:t xml:space="preserve"> </w:t>
      </w:r>
      <w:r w:rsidR="002022D8" w:rsidRPr="002022D8">
        <w:rPr>
          <w:rFonts w:ascii="Times New Roman" w:hAnsi="Times New Roman" w:cs="Times New Roman"/>
          <w:i/>
          <w:iCs/>
          <w:sz w:val="26"/>
          <w:szCs w:val="26"/>
          <w:lang w:val="vi-VN"/>
        </w:rPr>
        <w:t>"Xóa án tích"</w:t>
      </w:r>
      <w:r w:rsidR="00F15017" w:rsidRPr="00F15017">
        <w:rPr>
          <w:rFonts w:ascii="Times New Roman" w:hAnsi="Times New Roman" w:cs="Times New Roman"/>
          <w:i/>
          <w:iCs/>
          <w:sz w:val="26"/>
          <w:szCs w:val="26"/>
          <w:lang w:val="vi-VN"/>
        </w:rPr>
        <w:t xml:space="preserve">, </w:t>
      </w:r>
      <w:r w:rsidR="00E726DA" w:rsidRPr="00E726DA">
        <w:rPr>
          <w:rFonts w:ascii="Times New Roman" w:hAnsi="Times New Roman" w:cs="Times New Roman"/>
          <w:sz w:val="26"/>
          <w:szCs w:val="26"/>
          <w:lang w:val="vi-VN"/>
        </w:rPr>
        <w:t>đối với</w:t>
      </w:r>
      <w:r w:rsidR="00F15017" w:rsidRPr="00F15017">
        <w:rPr>
          <w:rFonts w:ascii="Times New Roman" w:hAnsi="Times New Roman" w:cs="Times New Roman"/>
          <w:sz w:val="26"/>
          <w:szCs w:val="26"/>
          <w:lang w:val="vi-VN"/>
        </w:rPr>
        <w:t xml:space="preserve"> </w:t>
      </w:r>
      <w:r w:rsidR="00685CE6" w:rsidRPr="00685CE6">
        <w:rPr>
          <w:rFonts w:ascii="Times New Roman" w:hAnsi="Times New Roman" w:cs="Times New Roman"/>
          <w:sz w:val="26"/>
          <w:szCs w:val="26"/>
          <w:lang w:val="vi-VN"/>
        </w:rPr>
        <w:t xml:space="preserve">trường hợp </w:t>
      </w:r>
      <w:r w:rsidR="00F15017" w:rsidRPr="00F15017">
        <w:rPr>
          <w:rFonts w:ascii="Times New Roman" w:hAnsi="Times New Roman" w:cs="Times New Roman"/>
          <w:sz w:val="26"/>
          <w:szCs w:val="26"/>
          <w:lang w:val="vi-VN"/>
        </w:rPr>
        <w:t xml:space="preserve">xóa án tích thì </w:t>
      </w:r>
      <w:r w:rsidR="009C7711" w:rsidRPr="009C7711">
        <w:rPr>
          <w:rFonts w:ascii="Times New Roman" w:hAnsi="Times New Roman" w:cs="Times New Roman"/>
          <w:sz w:val="26"/>
          <w:szCs w:val="26"/>
          <w:lang w:val="vi-VN"/>
        </w:rPr>
        <w:t>Phiếu lý lịch tư pháp số 2 vẫn thể hiện đầy đủ án tích của người đó đã được xóa.</w:t>
      </w:r>
    </w:p>
    <w:p w14:paraId="45DEE738" w14:textId="019611BA" w:rsidR="008413A6" w:rsidRDefault="00E93019" w:rsidP="009663B8">
      <w:pPr>
        <w:spacing w:before="120" w:after="0" w:line="240" w:lineRule="auto"/>
        <w:ind w:firstLine="709"/>
        <w:jc w:val="both"/>
        <w:rPr>
          <w:rFonts w:ascii="Times New Roman" w:hAnsi="Times New Roman" w:cs="Times New Roman"/>
          <w:sz w:val="26"/>
          <w:szCs w:val="26"/>
          <w:lang w:val="vi-VN"/>
        </w:rPr>
      </w:pPr>
      <w:r w:rsidRPr="00E93019">
        <w:rPr>
          <w:rFonts w:ascii="Times New Roman" w:hAnsi="Times New Roman" w:cs="Times New Roman"/>
          <w:sz w:val="26"/>
          <w:szCs w:val="26"/>
          <w:lang w:val="vi-VN"/>
        </w:rPr>
        <w:t xml:space="preserve">Do vậy, có thể nghiên cứu để ban hành văn bản hướng dẫn </w:t>
      </w:r>
      <w:r w:rsidR="000D12F4" w:rsidRPr="000D12F4">
        <w:rPr>
          <w:rFonts w:ascii="Times New Roman" w:hAnsi="Times New Roman" w:cs="Times New Roman"/>
          <w:sz w:val="26"/>
          <w:szCs w:val="26"/>
          <w:lang w:val="vi-VN"/>
        </w:rPr>
        <w:t xml:space="preserve">hoặc sửa đổi, bổ sung </w:t>
      </w:r>
      <w:r w:rsidRPr="00E93019">
        <w:rPr>
          <w:rFonts w:ascii="Times New Roman" w:hAnsi="Times New Roman" w:cs="Times New Roman"/>
          <w:sz w:val="26"/>
          <w:szCs w:val="26"/>
          <w:lang w:val="vi-VN"/>
        </w:rPr>
        <w:t xml:space="preserve">đối với Luật lý lịch tư pháp 2009 về việc ghi </w:t>
      </w:r>
      <w:r w:rsidR="002F1A94" w:rsidRPr="002F1A94">
        <w:rPr>
          <w:rFonts w:ascii="Times New Roman" w:hAnsi="Times New Roman" w:cs="Times New Roman"/>
          <w:sz w:val="26"/>
          <w:szCs w:val="26"/>
          <w:lang w:val="vi-VN"/>
        </w:rPr>
        <w:t xml:space="preserve">lý lịch tư pháp đối với người chưa thành niên. </w:t>
      </w:r>
      <w:r w:rsidR="005B585E" w:rsidRPr="005B585E">
        <w:rPr>
          <w:rFonts w:ascii="Times New Roman" w:hAnsi="Times New Roman" w:cs="Times New Roman"/>
          <w:sz w:val="26"/>
          <w:szCs w:val="26"/>
          <w:lang w:val="vi-VN"/>
        </w:rPr>
        <w:t>Cụ thể, người chưa thành niên bị kết án sẽ được ghi trong Phiếu lý lịch tư pháp</w:t>
      </w:r>
      <w:r w:rsidR="003E609D" w:rsidRPr="003E609D">
        <w:rPr>
          <w:rFonts w:ascii="Times New Roman" w:hAnsi="Times New Roman" w:cs="Times New Roman"/>
          <w:sz w:val="26"/>
          <w:szCs w:val="26"/>
          <w:lang w:val="vi-VN"/>
        </w:rPr>
        <w:t xml:space="preserve"> </w:t>
      </w:r>
      <w:r w:rsidR="005B585E" w:rsidRPr="005B585E">
        <w:rPr>
          <w:rFonts w:ascii="Times New Roman" w:hAnsi="Times New Roman" w:cs="Times New Roman"/>
          <w:sz w:val="26"/>
          <w:szCs w:val="26"/>
          <w:lang w:val="vi-VN"/>
        </w:rPr>
        <w:t xml:space="preserve">là </w:t>
      </w:r>
      <w:r w:rsidR="005B585E" w:rsidRPr="0009214C">
        <w:rPr>
          <w:rFonts w:ascii="Times New Roman" w:hAnsi="Times New Roman" w:cs="Times New Roman"/>
          <w:i/>
          <w:iCs/>
          <w:sz w:val="26"/>
          <w:szCs w:val="26"/>
          <w:lang w:val="vi-VN"/>
        </w:rPr>
        <w:t>"Không có án tích"</w:t>
      </w:r>
      <w:r w:rsidR="005B585E" w:rsidRPr="005B585E">
        <w:rPr>
          <w:rFonts w:ascii="Times New Roman" w:hAnsi="Times New Roman" w:cs="Times New Roman"/>
          <w:sz w:val="26"/>
          <w:szCs w:val="26"/>
          <w:lang w:val="vi-VN"/>
        </w:rPr>
        <w:t xml:space="preserve"> nếu thuộc</w:t>
      </w:r>
      <w:r w:rsidR="00DD2DB4" w:rsidRPr="00DD2DB4">
        <w:rPr>
          <w:rFonts w:ascii="Times New Roman" w:hAnsi="Times New Roman" w:cs="Times New Roman"/>
          <w:sz w:val="26"/>
          <w:szCs w:val="26"/>
          <w:lang w:val="vi-VN"/>
        </w:rPr>
        <w:t xml:space="preserve"> một trong các trường hợp sau</w:t>
      </w:r>
      <w:r w:rsidR="002F1A94" w:rsidRPr="00E06CA6">
        <w:rPr>
          <w:rFonts w:ascii="Times New Roman" w:hAnsi="Times New Roman" w:cs="Times New Roman"/>
          <w:sz w:val="26"/>
          <w:szCs w:val="26"/>
          <w:lang w:val="vi-VN"/>
        </w:rPr>
        <w:t xml:space="preserve">: </w:t>
      </w:r>
      <w:r w:rsidR="002F1A94" w:rsidRPr="002B0B86">
        <w:rPr>
          <w:rFonts w:ascii="Times New Roman" w:hAnsi="Times New Roman" w:cs="Times New Roman"/>
          <w:i/>
          <w:iCs/>
          <w:sz w:val="26"/>
          <w:szCs w:val="26"/>
          <w:lang w:val="vi-VN"/>
        </w:rPr>
        <w:t>"(a) Người từ đủ 14 tuổi đến dưới 16 tuổi; (b) Người từ đủ 16 tuổi đến dưới 18 tuổi bị kết án về tội phạm ít nghiêm trọng, tội phạm nghiêm trọng hoặc tội phạm rất nghiêm trọng do vô ý; (c) Người bị áp dụng biện pháp tư pháp"</w:t>
      </w:r>
      <w:r w:rsidR="002F1A94" w:rsidRPr="004B5BC8">
        <w:rPr>
          <w:rFonts w:ascii="Times New Roman" w:hAnsi="Times New Roman" w:cs="Times New Roman"/>
          <w:sz w:val="26"/>
          <w:szCs w:val="26"/>
          <w:lang w:val="vi-VN"/>
        </w:rPr>
        <w:t>.</w:t>
      </w:r>
      <w:r w:rsidR="008D4676" w:rsidRPr="008D4676">
        <w:rPr>
          <w:rFonts w:ascii="Times New Roman" w:hAnsi="Times New Roman" w:cs="Times New Roman"/>
          <w:sz w:val="26"/>
          <w:szCs w:val="26"/>
          <w:lang w:val="vi-VN"/>
        </w:rPr>
        <w:t xml:space="preserve"> </w:t>
      </w:r>
      <w:r w:rsidR="00A14DB2" w:rsidRPr="00A14DB2">
        <w:rPr>
          <w:rFonts w:ascii="Times New Roman" w:hAnsi="Times New Roman" w:cs="Times New Roman"/>
          <w:sz w:val="26"/>
          <w:szCs w:val="26"/>
          <w:lang w:val="vi-VN"/>
        </w:rPr>
        <w:t xml:space="preserve">Nếu </w:t>
      </w:r>
      <w:r w:rsidR="00E24819" w:rsidRPr="00E24819">
        <w:rPr>
          <w:rFonts w:ascii="Times New Roman" w:hAnsi="Times New Roman" w:cs="Times New Roman"/>
          <w:sz w:val="26"/>
          <w:szCs w:val="26"/>
          <w:lang w:val="vi-VN"/>
        </w:rPr>
        <w:t xml:space="preserve">được hướng dẫn rõ ràng, Luật lý lịch tư pháp 2009 sẽ phù hợp hơn với quy định tại Bộ luật hình sự, </w:t>
      </w:r>
      <w:r w:rsidR="00261DD5" w:rsidRPr="00261DD5">
        <w:rPr>
          <w:rFonts w:ascii="Times New Roman" w:hAnsi="Times New Roman" w:cs="Times New Roman"/>
          <w:sz w:val="26"/>
          <w:szCs w:val="26"/>
          <w:lang w:val="vi-VN"/>
        </w:rPr>
        <w:t>thông tin về việc đã từng bị kết án của người chưa thành niên sẽ được bảo mật tốt hơn, không thể bị tiết lộ trong Phiếu lý lịch tư pháp</w:t>
      </w:r>
      <w:r w:rsidR="00E322F3" w:rsidRPr="00E322F3">
        <w:rPr>
          <w:rFonts w:ascii="Times New Roman" w:hAnsi="Times New Roman" w:cs="Times New Roman"/>
          <w:sz w:val="26"/>
          <w:szCs w:val="26"/>
          <w:lang w:val="vi-VN"/>
        </w:rPr>
        <w:t xml:space="preserve">. </w:t>
      </w:r>
      <w:r w:rsidR="00A14DB2" w:rsidRPr="00A14DB2">
        <w:rPr>
          <w:rFonts w:ascii="Times New Roman" w:hAnsi="Times New Roman" w:cs="Times New Roman"/>
          <w:sz w:val="26"/>
          <w:szCs w:val="26"/>
          <w:lang w:val="vi-VN"/>
        </w:rPr>
        <w:t>Điều này</w:t>
      </w:r>
      <w:r w:rsidR="00904261" w:rsidRPr="001F1848">
        <w:rPr>
          <w:rFonts w:ascii="Times New Roman" w:hAnsi="Times New Roman" w:cs="Times New Roman"/>
          <w:sz w:val="26"/>
          <w:szCs w:val="26"/>
          <w:lang w:val="vi-VN"/>
        </w:rPr>
        <w:t xml:space="preserve"> </w:t>
      </w:r>
      <w:r w:rsidR="00E1282A" w:rsidRPr="00E1282A">
        <w:rPr>
          <w:rFonts w:ascii="Times New Roman" w:hAnsi="Times New Roman" w:cs="Times New Roman"/>
          <w:sz w:val="26"/>
          <w:szCs w:val="26"/>
          <w:lang w:val="vi-VN"/>
        </w:rPr>
        <w:t>sẽ là động lực lớn giúp các em</w:t>
      </w:r>
      <w:r w:rsidR="001F1848" w:rsidRPr="001F1848">
        <w:rPr>
          <w:rFonts w:ascii="Times New Roman" w:hAnsi="Times New Roman" w:cs="Times New Roman"/>
          <w:sz w:val="26"/>
          <w:szCs w:val="26"/>
          <w:lang w:val="vi-VN"/>
        </w:rPr>
        <w:t xml:space="preserve"> an tâm khép lại những </w:t>
      </w:r>
      <w:r w:rsidR="00FE21BE" w:rsidRPr="00FE21BE">
        <w:rPr>
          <w:rFonts w:ascii="Times New Roman" w:hAnsi="Times New Roman" w:cs="Times New Roman"/>
          <w:sz w:val="26"/>
          <w:szCs w:val="26"/>
          <w:lang w:val="vi-VN"/>
        </w:rPr>
        <w:t xml:space="preserve">sai lầm cũ, </w:t>
      </w:r>
      <w:r w:rsidR="001F1848" w:rsidRPr="001F1848">
        <w:rPr>
          <w:rFonts w:ascii="Times New Roman" w:hAnsi="Times New Roman" w:cs="Times New Roman"/>
          <w:sz w:val="26"/>
          <w:szCs w:val="26"/>
          <w:lang w:val="vi-VN"/>
        </w:rPr>
        <w:t>vững tin bước đến tương l</w:t>
      </w:r>
      <w:r w:rsidR="00C87EFE" w:rsidRPr="00C87EFE">
        <w:rPr>
          <w:rFonts w:ascii="Times New Roman" w:hAnsi="Times New Roman" w:cs="Times New Roman"/>
          <w:sz w:val="26"/>
          <w:szCs w:val="26"/>
          <w:lang w:val="vi-VN"/>
        </w:rPr>
        <w:t>ai tươi sáng hơn.</w:t>
      </w:r>
    </w:p>
    <w:p w14:paraId="12C5795E" w14:textId="6D76B00C" w:rsidR="00040571" w:rsidRDefault="00910B82" w:rsidP="00910B82">
      <w:pPr>
        <w:spacing w:before="120" w:after="0" w:line="240" w:lineRule="auto"/>
        <w:jc w:val="center"/>
        <w:rPr>
          <w:rFonts w:ascii="Times New Roman" w:hAnsi="Times New Roman" w:cs="Times New Roman"/>
          <w:b/>
          <w:bCs/>
          <w:sz w:val="26"/>
          <w:szCs w:val="26"/>
          <w:lang w:val="vi-VN"/>
        </w:rPr>
      </w:pPr>
      <w:r w:rsidRPr="00502C6B">
        <w:rPr>
          <w:rFonts w:ascii="Times New Roman" w:hAnsi="Times New Roman" w:cs="Times New Roman"/>
          <w:b/>
          <w:bCs/>
          <w:sz w:val="26"/>
          <w:szCs w:val="26"/>
          <w:lang w:val="vi-VN"/>
        </w:rPr>
        <w:t xml:space="preserve">KẾT </w:t>
      </w:r>
      <w:r w:rsidRPr="00691FFB">
        <w:rPr>
          <w:rFonts w:ascii="Times New Roman" w:hAnsi="Times New Roman" w:cs="Times New Roman"/>
          <w:b/>
          <w:bCs/>
          <w:sz w:val="26"/>
          <w:szCs w:val="26"/>
          <w:lang w:val="vi-VN"/>
        </w:rPr>
        <w:t>L</w:t>
      </w:r>
      <w:r w:rsidRPr="00502C6B">
        <w:rPr>
          <w:rFonts w:ascii="Times New Roman" w:hAnsi="Times New Roman" w:cs="Times New Roman"/>
          <w:b/>
          <w:bCs/>
          <w:sz w:val="26"/>
          <w:szCs w:val="26"/>
          <w:lang w:val="vi-VN"/>
        </w:rPr>
        <w:t>UẬN</w:t>
      </w:r>
    </w:p>
    <w:p w14:paraId="75F12C54" w14:textId="0477ADB3" w:rsidR="005303A2" w:rsidRPr="001362BD" w:rsidRDefault="00AC1877" w:rsidP="00584A69">
      <w:pPr>
        <w:spacing w:before="120" w:after="0" w:line="240" w:lineRule="auto"/>
        <w:ind w:firstLine="709"/>
        <w:jc w:val="both"/>
        <w:rPr>
          <w:rFonts w:ascii="Times New Roman" w:hAnsi="Times New Roman" w:cs="Times New Roman"/>
          <w:sz w:val="26"/>
          <w:szCs w:val="26"/>
          <w:lang w:val="vi-VN"/>
        </w:rPr>
      </w:pPr>
      <w:r w:rsidRPr="00AC1877">
        <w:rPr>
          <w:rFonts w:ascii="Times New Roman" w:hAnsi="Times New Roman" w:cs="Times New Roman"/>
          <w:sz w:val="26"/>
          <w:szCs w:val="26"/>
          <w:lang w:val="vi-VN"/>
        </w:rPr>
        <w:t xml:space="preserve">Tuổi vị thành niên đánh dấu </w:t>
      </w:r>
      <w:r w:rsidR="00D82129" w:rsidRPr="00D82129">
        <w:rPr>
          <w:rFonts w:ascii="Times New Roman" w:hAnsi="Times New Roman" w:cs="Times New Roman"/>
          <w:sz w:val="26"/>
          <w:szCs w:val="26"/>
          <w:lang w:val="vi-VN"/>
        </w:rPr>
        <w:t>sự thay đổi, chuyển biến lớn về cả thể chất lẫn tinh thần</w:t>
      </w:r>
      <w:r w:rsidR="004228E6" w:rsidRPr="004228E6">
        <w:rPr>
          <w:rFonts w:ascii="Times New Roman" w:hAnsi="Times New Roman" w:cs="Times New Roman"/>
          <w:sz w:val="26"/>
          <w:szCs w:val="26"/>
          <w:lang w:val="vi-VN"/>
        </w:rPr>
        <w:t xml:space="preserve">, nếu đặt trong môi trường không lành mạnh, tiếp xúc với những tác nhân xấu thì </w:t>
      </w:r>
      <w:r w:rsidR="00491CC5" w:rsidRPr="00491CC5">
        <w:rPr>
          <w:rFonts w:ascii="Times New Roman" w:hAnsi="Times New Roman" w:cs="Times New Roman"/>
          <w:sz w:val="26"/>
          <w:szCs w:val="26"/>
          <w:lang w:val="vi-VN"/>
        </w:rPr>
        <w:t xml:space="preserve">các em sẽ </w:t>
      </w:r>
      <w:r w:rsidR="0042381F" w:rsidRPr="0042381F">
        <w:rPr>
          <w:rFonts w:ascii="Times New Roman" w:hAnsi="Times New Roman" w:cs="Times New Roman"/>
          <w:sz w:val="26"/>
          <w:szCs w:val="26"/>
          <w:lang w:val="vi-VN"/>
        </w:rPr>
        <w:t>có</w:t>
      </w:r>
      <w:r w:rsidR="004228E6" w:rsidRPr="004228E6">
        <w:rPr>
          <w:rFonts w:ascii="Times New Roman" w:hAnsi="Times New Roman" w:cs="Times New Roman"/>
          <w:sz w:val="26"/>
          <w:szCs w:val="26"/>
          <w:lang w:val="vi-VN"/>
        </w:rPr>
        <w:t xml:space="preserve"> </w:t>
      </w:r>
      <w:r w:rsidR="004228E6" w:rsidRPr="004228E6">
        <w:rPr>
          <w:rFonts w:ascii="Times New Roman" w:hAnsi="Times New Roman" w:cs="Times New Roman"/>
          <w:sz w:val="26"/>
          <w:szCs w:val="26"/>
          <w:lang w:val="vi-VN"/>
        </w:rPr>
        <w:lastRenderedPageBreak/>
        <w:t>khả năng phạm phải sai lầm</w:t>
      </w:r>
      <w:r w:rsidR="00584A69" w:rsidRPr="00584A69">
        <w:rPr>
          <w:rFonts w:ascii="Times New Roman" w:hAnsi="Times New Roman" w:cs="Times New Roman"/>
          <w:sz w:val="26"/>
          <w:szCs w:val="26"/>
          <w:lang w:val="vi-VN"/>
        </w:rPr>
        <w:t xml:space="preserve">, không ngoại trừ trường hợp phải vướng vào vòng lao lý. </w:t>
      </w:r>
      <w:r w:rsidR="00584A69" w:rsidRPr="00D27DFB">
        <w:rPr>
          <w:rFonts w:ascii="Times New Roman" w:hAnsi="Times New Roman" w:cs="Times New Roman"/>
          <w:sz w:val="26"/>
          <w:szCs w:val="26"/>
          <w:lang w:val="vi-VN"/>
        </w:rPr>
        <w:t xml:space="preserve">Tuy nhiên, </w:t>
      </w:r>
      <w:r w:rsidR="00F5056B" w:rsidRPr="00F5056B">
        <w:rPr>
          <w:rFonts w:ascii="Times New Roman" w:hAnsi="Times New Roman" w:cs="Times New Roman"/>
          <w:sz w:val="26"/>
          <w:szCs w:val="26"/>
          <w:lang w:val="vi-VN"/>
        </w:rPr>
        <w:t xml:space="preserve">không thể dùng sai lầm của các em </w:t>
      </w:r>
      <w:r w:rsidR="009A6691" w:rsidRPr="009A6691">
        <w:rPr>
          <w:rFonts w:ascii="Times New Roman" w:hAnsi="Times New Roman" w:cs="Times New Roman"/>
          <w:sz w:val="26"/>
          <w:szCs w:val="26"/>
          <w:lang w:val="vi-VN"/>
        </w:rPr>
        <w:t>trong độ tuổi</w:t>
      </w:r>
      <w:r w:rsidR="00F5056B" w:rsidRPr="00F5056B">
        <w:rPr>
          <w:rFonts w:ascii="Times New Roman" w:hAnsi="Times New Roman" w:cs="Times New Roman"/>
          <w:sz w:val="26"/>
          <w:szCs w:val="26"/>
          <w:lang w:val="vi-VN"/>
        </w:rPr>
        <w:t xml:space="preserve"> chưa thành niên để đánh giá</w:t>
      </w:r>
      <w:r w:rsidR="00143FEC" w:rsidRPr="00143FEC">
        <w:rPr>
          <w:rFonts w:ascii="Times New Roman" w:hAnsi="Times New Roman" w:cs="Times New Roman"/>
          <w:sz w:val="26"/>
          <w:szCs w:val="26"/>
          <w:lang w:val="vi-VN"/>
        </w:rPr>
        <w:t xml:space="preserve"> cho cả </w:t>
      </w:r>
      <w:r w:rsidR="00170895" w:rsidRPr="00170895">
        <w:rPr>
          <w:rFonts w:ascii="Times New Roman" w:hAnsi="Times New Roman" w:cs="Times New Roman"/>
          <w:sz w:val="26"/>
          <w:szCs w:val="26"/>
          <w:lang w:val="vi-VN"/>
        </w:rPr>
        <w:t>một quãng đường dài</w:t>
      </w:r>
      <w:r w:rsidR="007227FB" w:rsidRPr="007227FB">
        <w:rPr>
          <w:rFonts w:ascii="Times New Roman" w:hAnsi="Times New Roman" w:cs="Times New Roman"/>
          <w:sz w:val="26"/>
          <w:szCs w:val="26"/>
          <w:lang w:val="vi-VN"/>
        </w:rPr>
        <w:t xml:space="preserve"> đang còn chờ đợi phía trước</w:t>
      </w:r>
      <w:r w:rsidR="00143FEC" w:rsidRPr="00143FEC">
        <w:rPr>
          <w:rFonts w:ascii="Times New Roman" w:hAnsi="Times New Roman" w:cs="Times New Roman"/>
          <w:sz w:val="26"/>
          <w:szCs w:val="26"/>
          <w:lang w:val="vi-VN"/>
        </w:rPr>
        <w:t xml:space="preserve">. </w:t>
      </w:r>
      <w:r w:rsidR="000D2062" w:rsidRPr="000D2062">
        <w:rPr>
          <w:rFonts w:ascii="Times New Roman" w:hAnsi="Times New Roman" w:cs="Times New Roman"/>
          <w:sz w:val="26"/>
          <w:szCs w:val="26"/>
          <w:lang w:val="vi-VN"/>
        </w:rPr>
        <w:t>C</w:t>
      </w:r>
      <w:r w:rsidR="00143FEC" w:rsidRPr="00143FEC">
        <w:rPr>
          <w:rFonts w:ascii="Times New Roman" w:hAnsi="Times New Roman" w:cs="Times New Roman"/>
          <w:sz w:val="26"/>
          <w:szCs w:val="26"/>
          <w:lang w:val="vi-VN"/>
        </w:rPr>
        <w:t xml:space="preserve">ác em hoàn toàn xứng đáng nhận được sự khoan dung, dạy dỗ của </w:t>
      </w:r>
      <w:r w:rsidR="000012AE" w:rsidRPr="000012AE">
        <w:rPr>
          <w:rFonts w:ascii="Times New Roman" w:hAnsi="Times New Roman" w:cs="Times New Roman"/>
          <w:sz w:val="26"/>
          <w:szCs w:val="26"/>
          <w:lang w:val="vi-VN"/>
        </w:rPr>
        <w:t>pháp luật và xã hội</w:t>
      </w:r>
      <w:r w:rsidR="0096642A" w:rsidRPr="0096642A">
        <w:rPr>
          <w:rFonts w:ascii="Times New Roman" w:hAnsi="Times New Roman" w:cs="Times New Roman"/>
          <w:sz w:val="26"/>
          <w:szCs w:val="26"/>
          <w:lang w:val="vi-VN"/>
        </w:rPr>
        <w:t xml:space="preserve"> để khi </w:t>
      </w:r>
      <w:r w:rsidR="006E1163" w:rsidRPr="006E1163">
        <w:rPr>
          <w:rFonts w:ascii="Times New Roman" w:hAnsi="Times New Roman" w:cs="Times New Roman"/>
          <w:sz w:val="26"/>
          <w:szCs w:val="26"/>
          <w:lang w:val="vi-VN"/>
        </w:rPr>
        <w:t>những đám mây đen qua đi, các em sẽ lại được đón ánh nắng</w:t>
      </w:r>
      <w:r w:rsidR="00BE6D27" w:rsidRPr="00BE6D27">
        <w:rPr>
          <w:rFonts w:ascii="Times New Roman" w:hAnsi="Times New Roman" w:cs="Times New Roman"/>
          <w:sz w:val="26"/>
          <w:szCs w:val="26"/>
          <w:lang w:val="vi-VN"/>
        </w:rPr>
        <w:t xml:space="preserve"> ban ma</w:t>
      </w:r>
      <w:r w:rsidR="00BE6D27" w:rsidRPr="00B40979">
        <w:rPr>
          <w:rFonts w:ascii="Times New Roman" w:hAnsi="Times New Roman" w:cs="Times New Roman"/>
          <w:sz w:val="26"/>
          <w:szCs w:val="26"/>
          <w:lang w:val="vi-VN"/>
        </w:rPr>
        <w:t>i</w:t>
      </w:r>
      <w:r w:rsidR="003A5F41" w:rsidRPr="003A5F41">
        <w:rPr>
          <w:rFonts w:ascii="Times New Roman" w:hAnsi="Times New Roman" w:cs="Times New Roman"/>
          <w:sz w:val="26"/>
          <w:szCs w:val="26"/>
          <w:lang w:val="vi-VN"/>
        </w:rPr>
        <w:t xml:space="preserve"> của niềm tin, hy vọn</w:t>
      </w:r>
      <w:r w:rsidR="00715929" w:rsidRPr="00715929">
        <w:rPr>
          <w:rFonts w:ascii="Times New Roman" w:hAnsi="Times New Roman" w:cs="Times New Roman"/>
          <w:sz w:val="26"/>
          <w:szCs w:val="26"/>
          <w:lang w:val="vi-VN"/>
        </w:rPr>
        <w:t>g tràn đầy</w:t>
      </w:r>
      <w:r w:rsidR="00ED33F8" w:rsidRPr="00ED33F8">
        <w:rPr>
          <w:rFonts w:ascii="Times New Roman" w:hAnsi="Times New Roman" w:cs="Times New Roman"/>
          <w:sz w:val="26"/>
          <w:szCs w:val="26"/>
          <w:lang w:val="vi-VN"/>
        </w:rPr>
        <w:t xml:space="preserve">. </w:t>
      </w:r>
      <w:r w:rsidR="000354D1" w:rsidRPr="000354D1">
        <w:rPr>
          <w:rFonts w:ascii="Times New Roman" w:hAnsi="Times New Roman" w:cs="Times New Roman"/>
          <w:sz w:val="26"/>
          <w:szCs w:val="26"/>
          <w:lang w:val="vi-VN"/>
        </w:rPr>
        <w:t xml:space="preserve">Không ít người chưa thành niên dù đã từng phạm sai lầm trong quá khứ nhưng khi trưởng thành, bằng sự tu dưỡng đạo đức và </w:t>
      </w:r>
      <w:r w:rsidR="007A2CD9" w:rsidRPr="007A2CD9">
        <w:rPr>
          <w:rFonts w:ascii="Times New Roman" w:hAnsi="Times New Roman" w:cs="Times New Roman"/>
          <w:sz w:val="26"/>
          <w:szCs w:val="26"/>
          <w:lang w:val="vi-VN"/>
        </w:rPr>
        <w:t>giáo dục</w:t>
      </w:r>
      <w:r w:rsidR="005604DB" w:rsidRPr="005604DB">
        <w:rPr>
          <w:rFonts w:ascii="Times New Roman" w:hAnsi="Times New Roman" w:cs="Times New Roman"/>
          <w:sz w:val="26"/>
          <w:szCs w:val="26"/>
          <w:lang w:val="vi-VN"/>
        </w:rPr>
        <w:t>, họ cũng đã trở thành những người tốt, có ích cho xã hội.</w:t>
      </w:r>
      <w:r w:rsidR="000354D1" w:rsidRPr="000354D1">
        <w:rPr>
          <w:rFonts w:ascii="Times New Roman" w:hAnsi="Times New Roman" w:cs="Times New Roman"/>
          <w:sz w:val="26"/>
          <w:szCs w:val="26"/>
          <w:lang w:val="vi-VN"/>
        </w:rPr>
        <w:t xml:space="preserve"> </w:t>
      </w:r>
      <w:r w:rsidR="00ED33F8" w:rsidRPr="00BE6D27">
        <w:rPr>
          <w:rFonts w:ascii="Times New Roman" w:hAnsi="Times New Roman" w:cs="Times New Roman"/>
          <w:sz w:val="26"/>
          <w:szCs w:val="26"/>
          <w:lang w:val="vi-VN"/>
        </w:rPr>
        <w:t xml:space="preserve">Tập thể tác giả </w:t>
      </w:r>
      <w:r w:rsidR="00964ED2" w:rsidRPr="00964ED2">
        <w:rPr>
          <w:rFonts w:ascii="Times New Roman" w:hAnsi="Times New Roman" w:cs="Times New Roman"/>
          <w:sz w:val="26"/>
          <w:szCs w:val="26"/>
          <w:lang w:val="vi-VN"/>
        </w:rPr>
        <w:t xml:space="preserve">hy vọng rằng bằng việc nghiên cứu pháp luật Trung Quốc và </w:t>
      </w:r>
      <w:r w:rsidR="003B36C6" w:rsidRPr="003B36C6">
        <w:rPr>
          <w:rFonts w:ascii="Times New Roman" w:hAnsi="Times New Roman" w:cs="Times New Roman"/>
          <w:sz w:val="26"/>
          <w:szCs w:val="26"/>
          <w:lang w:val="vi-VN"/>
        </w:rPr>
        <w:t>gợi mở những điểm phù hợp, tiến bộ cho pháp luật Việt Nam sẽ là chìa khóa để</w:t>
      </w:r>
      <w:r w:rsidR="009A6691" w:rsidRPr="009A6691">
        <w:rPr>
          <w:rFonts w:ascii="Times New Roman" w:hAnsi="Times New Roman" w:cs="Times New Roman"/>
          <w:sz w:val="26"/>
          <w:szCs w:val="26"/>
          <w:lang w:val="vi-VN"/>
        </w:rPr>
        <w:t xml:space="preserve"> </w:t>
      </w:r>
      <w:r w:rsidR="00DD24A4" w:rsidRPr="00DD24A4">
        <w:rPr>
          <w:rFonts w:ascii="Times New Roman" w:hAnsi="Times New Roman" w:cs="Times New Roman"/>
          <w:sz w:val="26"/>
          <w:szCs w:val="26"/>
          <w:lang w:val="vi-VN"/>
        </w:rPr>
        <w:t xml:space="preserve">giúp người chưa thành niên </w:t>
      </w:r>
      <w:r w:rsidR="009A6691" w:rsidRPr="009A6691">
        <w:rPr>
          <w:rFonts w:ascii="Times New Roman" w:hAnsi="Times New Roman" w:cs="Times New Roman"/>
          <w:sz w:val="26"/>
          <w:szCs w:val="26"/>
          <w:lang w:val="vi-VN"/>
        </w:rPr>
        <w:t xml:space="preserve">khóa lại những </w:t>
      </w:r>
      <w:r w:rsidR="00BE37F8" w:rsidRPr="00BE37F8">
        <w:rPr>
          <w:rFonts w:ascii="Times New Roman" w:hAnsi="Times New Roman" w:cs="Times New Roman"/>
          <w:sz w:val="26"/>
          <w:szCs w:val="26"/>
          <w:lang w:val="vi-VN"/>
        </w:rPr>
        <w:t xml:space="preserve">sai lầm đã qua, </w:t>
      </w:r>
      <w:r w:rsidR="00A8267B" w:rsidRPr="00A8267B">
        <w:rPr>
          <w:rFonts w:ascii="Times New Roman" w:hAnsi="Times New Roman" w:cs="Times New Roman"/>
          <w:sz w:val="26"/>
          <w:szCs w:val="26"/>
          <w:lang w:val="vi-VN"/>
        </w:rPr>
        <w:t xml:space="preserve">khai mở </w:t>
      </w:r>
      <w:r w:rsidR="00455563" w:rsidRPr="00455563">
        <w:rPr>
          <w:rFonts w:ascii="Times New Roman" w:hAnsi="Times New Roman" w:cs="Times New Roman"/>
          <w:sz w:val="26"/>
          <w:szCs w:val="26"/>
          <w:lang w:val="vi-VN"/>
        </w:rPr>
        <w:t>ra</w:t>
      </w:r>
      <w:r w:rsidR="00A8267B" w:rsidRPr="00A8267B">
        <w:rPr>
          <w:rFonts w:ascii="Times New Roman" w:hAnsi="Times New Roman" w:cs="Times New Roman"/>
          <w:sz w:val="26"/>
          <w:szCs w:val="26"/>
          <w:lang w:val="vi-VN"/>
        </w:rPr>
        <w:t xml:space="preserve"> con đường tương lai tươi đẹp phía trước</w:t>
      </w:r>
      <w:r w:rsidR="00161EEE" w:rsidRPr="00161EEE">
        <w:rPr>
          <w:rFonts w:ascii="Times New Roman" w:hAnsi="Times New Roman" w:cs="Times New Roman"/>
          <w:sz w:val="26"/>
          <w:szCs w:val="26"/>
          <w:lang w:val="vi-VN"/>
        </w:rPr>
        <w:t>.</w:t>
      </w:r>
      <w:r w:rsidR="00FF172C" w:rsidRPr="00FF172C">
        <w:rPr>
          <w:rFonts w:ascii="Times New Roman" w:hAnsi="Times New Roman" w:cs="Times New Roman"/>
          <w:sz w:val="26"/>
          <w:szCs w:val="26"/>
          <w:lang w:val="vi-VN"/>
        </w:rPr>
        <w:t xml:space="preserve"> </w:t>
      </w:r>
      <w:r w:rsidR="00305745" w:rsidRPr="00305745">
        <w:rPr>
          <w:rFonts w:ascii="Times New Roman" w:hAnsi="Times New Roman" w:cs="Times New Roman"/>
          <w:sz w:val="26"/>
          <w:szCs w:val="26"/>
          <w:lang w:val="vi-VN"/>
        </w:rPr>
        <w:t>Sự tích cực trong mỗi con người các em được nuôi dưỡng, giáo dục</w:t>
      </w:r>
      <w:r w:rsidR="0003049B" w:rsidRPr="0003049B">
        <w:rPr>
          <w:rFonts w:ascii="Times New Roman" w:hAnsi="Times New Roman" w:cs="Times New Roman"/>
          <w:sz w:val="26"/>
          <w:szCs w:val="26"/>
          <w:lang w:val="vi-VN"/>
        </w:rPr>
        <w:t xml:space="preserve"> ngày</w:t>
      </w:r>
      <w:r w:rsidR="00305745" w:rsidRPr="00305745">
        <w:rPr>
          <w:rFonts w:ascii="Times New Roman" w:hAnsi="Times New Roman" w:cs="Times New Roman"/>
          <w:sz w:val="26"/>
          <w:szCs w:val="26"/>
          <w:lang w:val="vi-VN"/>
        </w:rPr>
        <w:t xml:space="preserve"> hôm nay</w:t>
      </w:r>
      <w:r w:rsidR="00FF172C" w:rsidRPr="00FF172C">
        <w:rPr>
          <w:rFonts w:ascii="Times New Roman" w:hAnsi="Times New Roman" w:cs="Times New Roman"/>
          <w:sz w:val="26"/>
          <w:szCs w:val="26"/>
          <w:lang w:val="vi-VN"/>
        </w:rPr>
        <w:t xml:space="preserve"> chính là động lực mạnh mẽ cho sự phát triển tích cực của xã hội </w:t>
      </w:r>
      <w:r w:rsidR="00A335D7" w:rsidRPr="00A335D7">
        <w:rPr>
          <w:rFonts w:ascii="Times New Roman" w:hAnsi="Times New Roman" w:cs="Times New Roman"/>
          <w:sz w:val="26"/>
          <w:szCs w:val="26"/>
          <w:lang w:val="vi-VN"/>
        </w:rPr>
        <w:t xml:space="preserve">Việt Nam </w:t>
      </w:r>
      <w:r w:rsidR="0070083C" w:rsidRPr="0070083C">
        <w:rPr>
          <w:rFonts w:ascii="Times New Roman" w:hAnsi="Times New Roman" w:cs="Times New Roman"/>
          <w:sz w:val="26"/>
          <w:szCs w:val="26"/>
          <w:lang w:val="vi-VN"/>
        </w:rPr>
        <w:t>ngày ma</w:t>
      </w:r>
      <w:r w:rsidR="0070083C" w:rsidRPr="00C01B63">
        <w:rPr>
          <w:rFonts w:ascii="Times New Roman" w:hAnsi="Times New Roman" w:cs="Times New Roman"/>
          <w:sz w:val="26"/>
          <w:szCs w:val="26"/>
          <w:lang w:val="vi-VN"/>
        </w:rPr>
        <w:t>i</w:t>
      </w:r>
      <w:r w:rsidR="00A335D7" w:rsidRPr="00A335D7">
        <w:rPr>
          <w:rFonts w:ascii="Times New Roman" w:hAnsi="Times New Roman" w:cs="Times New Roman"/>
          <w:sz w:val="26"/>
          <w:szCs w:val="26"/>
          <w:lang w:val="vi-VN"/>
        </w:rPr>
        <w:t>.</w:t>
      </w:r>
      <w:r w:rsidR="001362BD" w:rsidRPr="001362BD">
        <w:rPr>
          <w:rFonts w:ascii="Times New Roman" w:hAnsi="Times New Roman" w:cs="Times New Roman"/>
          <w:sz w:val="26"/>
          <w:szCs w:val="26"/>
          <w:lang w:val="vi-VN"/>
        </w:rPr>
        <w:t>/.</w:t>
      </w:r>
    </w:p>
    <w:p w14:paraId="31DB9BEE" w14:textId="50F9D7A5" w:rsidR="00040571" w:rsidRPr="00502C6B" w:rsidRDefault="00040571" w:rsidP="00C721B0">
      <w:pPr>
        <w:spacing w:before="120" w:after="0" w:line="240" w:lineRule="auto"/>
        <w:ind w:firstLine="709"/>
        <w:jc w:val="both"/>
        <w:rPr>
          <w:rFonts w:ascii="Times New Roman" w:hAnsi="Times New Roman" w:cs="Times New Roman"/>
          <w:sz w:val="26"/>
          <w:szCs w:val="26"/>
          <w:lang w:val="vi-VN"/>
        </w:rPr>
      </w:pPr>
    </w:p>
    <w:p w14:paraId="7E624AFC" w14:textId="77777777" w:rsidR="00040571" w:rsidRPr="00EA2BE5" w:rsidRDefault="00040571" w:rsidP="00040571">
      <w:pPr>
        <w:spacing w:before="120" w:after="0" w:line="240" w:lineRule="auto"/>
        <w:jc w:val="center"/>
        <w:rPr>
          <w:rFonts w:ascii="Times New Roman" w:hAnsi="Times New Roman" w:cs="Times New Roman"/>
          <w:b/>
          <w:bCs/>
          <w:sz w:val="26"/>
          <w:szCs w:val="26"/>
          <w:lang w:val="vi-VN"/>
        </w:rPr>
      </w:pPr>
      <w:r w:rsidRPr="00EA2BE5">
        <w:rPr>
          <w:rFonts w:ascii="Times New Roman" w:hAnsi="Times New Roman" w:cs="Times New Roman"/>
          <w:b/>
          <w:bCs/>
          <w:sz w:val="26"/>
          <w:szCs w:val="26"/>
          <w:lang w:val="vi-VN"/>
        </w:rPr>
        <w:t>TÀI LIỆU THAM KHẢO</w:t>
      </w:r>
    </w:p>
    <w:p w14:paraId="6644FE0A" w14:textId="77777777" w:rsidR="00D01CC7" w:rsidRPr="00145486" w:rsidRDefault="00D01CC7" w:rsidP="00D01CC7">
      <w:pPr>
        <w:spacing w:before="120" w:after="0" w:line="240" w:lineRule="auto"/>
        <w:rPr>
          <w:rFonts w:ascii="Times New Roman" w:hAnsi="Times New Roman" w:cs="Times New Roman"/>
          <w:b/>
          <w:bCs/>
          <w:sz w:val="26"/>
          <w:szCs w:val="26"/>
          <w:lang w:val="vi-VN"/>
        </w:rPr>
      </w:pPr>
      <w:r w:rsidRPr="00145486">
        <w:rPr>
          <w:rFonts w:ascii="Times New Roman" w:hAnsi="Times New Roman" w:cs="Times New Roman"/>
          <w:b/>
          <w:bCs/>
          <w:sz w:val="26"/>
          <w:szCs w:val="26"/>
          <w:lang w:val="vi-VN"/>
        </w:rPr>
        <w:t xml:space="preserve">Tài liệu Tiếng Việt  </w:t>
      </w:r>
    </w:p>
    <w:p w14:paraId="7FD2C30F" w14:textId="77777777" w:rsidR="00D01CC7" w:rsidRPr="00145486" w:rsidRDefault="00D01CC7" w:rsidP="00D01CC7">
      <w:pPr>
        <w:spacing w:before="120" w:after="0" w:line="240" w:lineRule="auto"/>
        <w:jc w:val="both"/>
        <w:rPr>
          <w:rFonts w:ascii="Times New Roman" w:hAnsi="Times New Roman" w:cs="Times New Roman"/>
          <w:sz w:val="26"/>
          <w:szCs w:val="26"/>
          <w:lang w:val="vi-VN"/>
        </w:rPr>
      </w:pPr>
      <w:r w:rsidRPr="00145486">
        <w:rPr>
          <w:rFonts w:ascii="Times New Roman" w:hAnsi="Times New Roman" w:cs="Times New Roman"/>
          <w:sz w:val="26"/>
          <w:szCs w:val="26"/>
          <w:lang w:val="vi-VN"/>
        </w:rPr>
        <w:t xml:space="preserve">1. Quốc Hội nước CHXHCN Việt Nam (2009), </w:t>
      </w:r>
      <w:r w:rsidRPr="00F505BF">
        <w:rPr>
          <w:rFonts w:ascii="Times New Roman" w:hAnsi="Times New Roman" w:cs="Times New Roman"/>
          <w:i/>
          <w:iCs/>
          <w:sz w:val="26"/>
          <w:szCs w:val="26"/>
          <w:lang w:val="vi-VN"/>
        </w:rPr>
        <w:t>Luật lý lịch tư pháp</w:t>
      </w:r>
      <w:r w:rsidRPr="00145486">
        <w:rPr>
          <w:rFonts w:ascii="Times New Roman" w:hAnsi="Times New Roman" w:cs="Times New Roman"/>
          <w:i/>
          <w:iCs/>
          <w:sz w:val="26"/>
          <w:szCs w:val="26"/>
          <w:lang w:val="vi-VN"/>
        </w:rPr>
        <w:t>,</w:t>
      </w:r>
      <w:r w:rsidRPr="00145486">
        <w:rPr>
          <w:rFonts w:ascii="Times New Roman" w:hAnsi="Times New Roman" w:cs="Times New Roman"/>
          <w:sz w:val="26"/>
          <w:szCs w:val="26"/>
          <w:lang w:val="vi-VN"/>
        </w:rPr>
        <w:t xml:space="preserve"> Hà Nội. </w:t>
      </w:r>
    </w:p>
    <w:p w14:paraId="53921933" w14:textId="77777777" w:rsidR="00D01CC7" w:rsidRPr="00145486" w:rsidRDefault="00D01CC7" w:rsidP="00D01CC7">
      <w:pPr>
        <w:spacing w:before="120" w:after="0" w:line="240" w:lineRule="auto"/>
        <w:jc w:val="both"/>
        <w:rPr>
          <w:rFonts w:ascii="Times New Roman" w:hAnsi="Times New Roman" w:cs="Times New Roman"/>
          <w:sz w:val="26"/>
          <w:szCs w:val="26"/>
          <w:lang w:val="vi-VN"/>
        </w:rPr>
      </w:pPr>
      <w:r w:rsidRPr="00145486">
        <w:rPr>
          <w:rFonts w:ascii="Times New Roman" w:hAnsi="Times New Roman" w:cs="Times New Roman"/>
          <w:sz w:val="26"/>
          <w:szCs w:val="26"/>
          <w:lang w:val="vi-VN"/>
        </w:rPr>
        <w:t xml:space="preserve">2. Quốc Hội nước CHXHCN Việt Nam (2015), </w:t>
      </w:r>
      <w:r w:rsidRPr="00145486">
        <w:rPr>
          <w:rFonts w:ascii="Times New Roman" w:hAnsi="Times New Roman" w:cs="Times New Roman"/>
          <w:i/>
          <w:iCs/>
          <w:sz w:val="26"/>
          <w:szCs w:val="26"/>
          <w:lang w:val="vi-VN"/>
        </w:rPr>
        <w:t xml:space="preserve">Bộ luật Tố tụng Hình sự, </w:t>
      </w:r>
      <w:r w:rsidRPr="00145486">
        <w:rPr>
          <w:rFonts w:ascii="Times New Roman" w:hAnsi="Times New Roman" w:cs="Times New Roman"/>
          <w:sz w:val="26"/>
          <w:szCs w:val="26"/>
          <w:lang w:val="vi-VN"/>
        </w:rPr>
        <w:t>Hà Nội</w:t>
      </w:r>
      <w:r w:rsidRPr="00145486">
        <w:rPr>
          <w:rFonts w:ascii="Times New Roman" w:hAnsi="Times New Roman" w:cs="Times New Roman"/>
          <w:i/>
          <w:iCs/>
          <w:sz w:val="26"/>
          <w:szCs w:val="26"/>
          <w:lang w:val="vi-VN"/>
        </w:rPr>
        <w:t>.</w:t>
      </w:r>
    </w:p>
    <w:p w14:paraId="26DD9205" w14:textId="77777777" w:rsidR="00D01CC7" w:rsidRPr="00145486" w:rsidRDefault="00D01CC7" w:rsidP="00D01CC7">
      <w:pPr>
        <w:spacing w:before="120" w:after="0" w:line="240" w:lineRule="auto"/>
        <w:jc w:val="both"/>
        <w:rPr>
          <w:rFonts w:ascii="Times New Roman" w:hAnsi="Times New Roman" w:cs="Times New Roman"/>
          <w:i/>
          <w:iCs/>
          <w:sz w:val="28"/>
          <w:szCs w:val="28"/>
          <w:lang w:val="vi-VN"/>
        </w:rPr>
      </w:pPr>
      <w:r w:rsidRPr="00145486">
        <w:rPr>
          <w:rFonts w:ascii="Times New Roman" w:hAnsi="Times New Roman" w:cs="Times New Roman"/>
          <w:sz w:val="26"/>
          <w:szCs w:val="26"/>
          <w:lang w:val="vi-VN"/>
        </w:rPr>
        <w:t xml:space="preserve">3. Tòa án nhân dân Tối cao Việt Nam (2018), </w:t>
      </w:r>
      <w:r w:rsidRPr="00F505BF">
        <w:rPr>
          <w:rFonts w:ascii="Times New Roman" w:hAnsi="Times New Roman" w:cs="Times New Roman"/>
          <w:i/>
          <w:iCs/>
          <w:sz w:val="26"/>
          <w:szCs w:val="26"/>
          <w:lang w:val="vi-VN"/>
        </w:rPr>
        <w:t>Thông tư số 02/2018/TT-TANDTC ngày 21/09/2018</w:t>
      </w:r>
      <w:r w:rsidRPr="00D9140A">
        <w:rPr>
          <w:rFonts w:ascii="Times New Roman" w:hAnsi="Times New Roman" w:cs="Times New Roman"/>
          <w:i/>
          <w:iCs/>
          <w:sz w:val="26"/>
          <w:szCs w:val="26"/>
          <w:lang w:val="vi-VN"/>
        </w:rPr>
        <w:t xml:space="preserve"> quy định chi tiết việc xét xử vụ án hình sự có người tham gia tố tụng là người dưới 18 tuổi thuộc thẩm quyền của tòa gia đình và người chưa thành niên</w:t>
      </w:r>
      <w:r w:rsidRPr="00145486">
        <w:rPr>
          <w:rFonts w:ascii="Times New Roman" w:hAnsi="Times New Roman" w:cs="Times New Roman"/>
          <w:i/>
          <w:iCs/>
          <w:sz w:val="28"/>
          <w:szCs w:val="28"/>
          <w:lang w:val="vi-VN"/>
        </w:rPr>
        <w:t xml:space="preserve">, </w:t>
      </w:r>
      <w:r w:rsidRPr="00145486">
        <w:rPr>
          <w:rFonts w:ascii="Times New Roman" w:hAnsi="Times New Roman" w:cs="Times New Roman"/>
          <w:sz w:val="28"/>
          <w:szCs w:val="28"/>
          <w:lang w:val="vi-VN"/>
        </w:rPr>
        <w:t>Hà Nội.</w:t>
      </w:r>
      <w:r w:rsidRPr="00145486">
        <w:rPr>
          <w:rFonts w:ascii="Times New Roman" w:hAnsi="Times New Roman" w:cs="Times New Roman"/>
          <w:i/>
          <w:iCs/>
          <w:sz w:val="28"/>
          <w:szCs w:val="28"/>
          <w:lang w:val="vi-VN"/>
        </w:rPr>
        <w:t xml:space="preserve">  </w:t>
      </w:r>
    </w:p>
    <w:p w14:paraId="1D379127" w14:textId="77777777" w:rsidR="00D01CC7" w:rsidRPr="00145486" w:rsidRDefault="00D01CC7" w:rsidP="00D01CC7">
      <w:pPr>
        <w:spacing w:before="120" w:after="0" w:line="240" w:lineRule="auto"/>
        <w:jc w:val="both"/>
        <w:rPr>
          <w:rFonts w:ascii="Times New Roman" w:hAnsi="Times New Roman" w:cs="Times New Roman"/>
          <w:sz w:val="26"/>
          <w:szCs w:val="26"/>
          <w:lang w:val="vi-VN"/>
        </w:rPr>
      </w:pPr>
      <w:r w:rsidRPr="00145486">
        <w:rPr>
          <w:rFonts w:ascii="Times New Roman" w:hAnsi="Times New Roman" w:cs="Times New Roman"/>
          <w:sz w:val="26"/>
          <w:szCs w:val="26"/>
          <w:lang w:val="vi-VN"/>
        </w:rPr>
        <w:t xml:space="preserve">4. Nguyễn Thị Minh Phương (2020), Xóa bỏ thông tin trong lý lịch tư pháp – Quy định của pháp luật và một số đề xuất, kiến nghị, </w:t>
      </w:r>
      <w:r w:rsidRPr="00145486">
        <w:rPr>
          <w:rFonts w:ascii="Times New Roman" w:hAnsi="Times New Roman" w:cs="Times New Roman"/>
          <w:i/>
          <w:iCs/>
          <w:sz w:val="26"/>
          <w:szCs w:val="26"/>
          <w:lang w:val="vi-VN"/>
        </w:rPr>
        <w:t>Học viện Tư Pháp</w:t>
      </w:r>
      <w:r w:rsidRPr="00145486">
        <w:rPr>
          <w:rFonts w:ascii="Times New Roman" w:hAnsi="Times New Roman" w:cs="Times New Roman"/>
          <w:sz w:val="26"/>
          <w:szCs w:val="26"/>
          <w:lang w:val="vi-VN"/>
        </w:rPr>
        <w:t xml:space="preserve">. </w:t>
      </w:r>
    </w:p>
    <w:p w14:paraId="77C835A5" w14:textId="77777777" w:rsidR="00D01CC7" w:rsidRPr="00145486" w:rsidRDefault="00D01CC7" w:rsidP="00D01CC7">
      <w:pPr>
        <w:spacing w:before="120" w:after="0" w:line="240" w:lineRule="auto"/>
        <w:jc w:val="both"/>
        <w:rPr>
          <w:rFonts w:ascii="Times New Roman" w:hAnsi="Times New Roman" w:cs="Times New Roman"/>
          <w:b/>
          <w:bCs/>
          <w:sz w:val="26"/>
          <w:szCs w:val="26"/>
          <w:lang w:val="vi-VN"/>
        </w:rPr>
      </w:pPr>
      <w:r w:rsidRPr="00145486">
        <w:rPr>
          <w:rFonts w:ascii="Times New Roman" w:hAnsi="Times New Roman" w:cs="Times New Roman"/>
          <w:b/>
          <w:bCs/>
          <w:sz w:val="26"/>
          <w:szCs w:val="26"/>
          <w:lang w:val="vi-VN"/>
        </w:rPr>
        <w:t xml:space="preserve">Tài liệu nước ngoài </w:t>
      </w:r>
    </w:p>
    <w:p w14:paraId="56BEE8C9" w14:textId="77777777" w:rsidR="00D01CC7" w:rsidRPr="00145486" w:rsidRDefault="00D01CC7" w:rsidP="00D01CC7">
      <w:pPr>
        <w:spacing w:before="120" w:after="0" w:line="240" w:lineRule="auto"/>
        <w:jc w:val="both"/>
        <w:rPr>
          <w:rFonts w:ascii="Times New Roman" w:hAnsi="Times New Roman" w:cs="Times New Roman"/>
          <w:sz w:val="26"/>
          <w:szCs w:val="26"/>
          <w:lang w:val="vi-VN"/>
        </w:rPr>
      </w:pPr>
      <w:r w:rsidRPr="00145486">
        <w:rPr>
          <w:rFonts w:ascii="Times New Roman" w:hAnsi="Times New Roman" w:cs="Times New Roman"/>
          <w:sz w:val="26"/>
          <w:szCs w:val="26"/>
          <w:lang w:val="vi-VN"/>
        </w:rPr>
        <w:t xml:space="preserve">5. Quốc Hội nước Cộng hòa nhân dân Trung Hoa (2018), </w:t>
      </w:r>
      <w:r w:rsidRPr="00145486">
        <w:rPr>
          <w:rFonts w:ascii="Times New Roman" w:hAnsi="Times New Roman" w:cs="Times New Roman"/>
          <w:i/>
          <w:iCs/>
          <w:sz w:val="26"/>
          <w:szCs w:val="26"/>
          <w:lang w:val="vi-VN"/>
        </w:rPr>
        <w:t xml:space="preserve">Luật Tố tụng Hình sự Trung Quốc, </w:t>
      </w:r>
      <w:r w:rsidRPr="00145486">
        <w:rPr>
          <w:rFonts w:ascii="Times New Roman" w:hAnsi="Times New Roman" w:cs="Times New Roman"/>
          <w:sz w:val="26"/>
          <w:szCs w:val="26"/>
          <w:lang w:val="vi-VN"/>
        </w:rPr>
        <w:t xml:space="preserve">Bắc Kinh. </w:t>
      </w:r>
    </w:p>
    <w:p w14:paraId="74F54BF2" w14:textId="77777777" w:rsidR="00D01CC7" w:rsidRPr="00145486" w:rsidRDefault="00D01CC7" w:rsidP="00D01CC7">
      <w:pPr>
        <w:spacing w:before="120" w:after="0" w:line="240" w:lineRule="auto"/>
        <w:jc w:val="both"/>
        <w:rPr>
          <w:rFonts w:ascii="Times New Roman" w:hAnsi="Times New Roman" w:cs="Times New Roman"/>
          <w:sz w:val="26"/>
          <w:szCs w:val="26"/>
          <w:lang w:val="vi-VN"/>
        </w:rPr>
      </w:pPr>
      <w:r w:rsidRPr="00145486">
        <w:rPr>
          <w:rFonts w:ascii="Times New Roman" w:hAnsi="Times New Roman" w:cs="Times New Roman"/>
          <w:sz w:val="26"/>
          <w:szCs w:val="26"/>
          <w:lang w:val="vi-VN"/>
        </w:rPr>
        <w:t xml:space="preserve">6. Quốc Hội nước Cộng hòa nhân dân Trung Hoa (2020), </w:t>
      </w:r>
      <w:r w:rsidRPr="00145486">
        <w:rPr>
          <w:rFonts w:ascii="Times New Roman" w:hAnsi="Times New Roman" w:cs="Times New Roman"/>
          <w:i/>
          <w:iCs/>
          <w:sz w:val="26"/>
          <w:szCs w:val="26"/>
          <w:lang w:val="vi-VN"/>
        </w:rPr>
        <w:t xml:space="preserve">Luật Phòng chống người chưa thành niên phạm pháp, </w:t>
      </w:r>
      <w:r w:rsidRPr="00145486">
        <w:rPr>
          <w:rFonts w:ascii="Times New Roman" w:hAnsi="Times New Roman" w:cs="Times New Roman"/>
          <w:sz w:val="26"/>
          <w:szCs w:val="26"/>
          <w:lang w:val="vi-VN"/>
        </w:rPr>
        <w:t xml:space="preserve">Bắc Kinh. </w:t>
      </w:r>
    </w:p>
    <w:p w14:paraId="016F7675" w14:textId="77777777" w:rsidR="00D01CC7" w:rsidRPr="00145486" w:rsidRDefault="00D01CC7" w:rsidP="00D01CC7">
      <w:pPr>
        <w:spacing w:before="120" w:after="0" w:line="240" w:lineRule="auto"/>
        <w:jc w:val="both"/>
        <w:rPr>
          <w:rFonts w:ascii="Times New Roman" w:hAnsi="Times New Roman" w:cs="Times New Roman"/>
          <w:sz w:val="26"/>
          <w:szCs w:val="26"/>
          <w:lang w:val="vi-VN"/>
        </w:rPr>
      </w:pPr>
      <w:r w:rsidRPr="00145486">
        <w:rPr>
          <w:rFonts w:ascii="Times New Roman" w:hAnsi="Times New Roman" w:cs="Times New Roman"/>
          <w:sz w:val="26"/>
          <w:szCs w:val="26"/>
          <w:lang w:val="vi-VN"/>
        </w:rPr>
        <w:t xml:space="preserve">7. Quốc Hội nước Cộng hòa nhân dân Trung Hoa (2021), </w:t>
      </w:r>
      <w:r w:rsidRPr="00145486">
        <w:rPr>
          <w:rFonts w:ascii="Times New Roman" w:hAnsi="Times New Roman" w:cs="Times New Roman"/>
          <w:i/>
          <w:iCs/>
          <w:sz w:val="26"/>
          <w:szCs w:val="26"/>
          <w:lang w:val="vi-VN"/>
        </w:rPr>
        <w:t>Luật Trợ giúp pháp lý Trung Quốc</w:t>
      </w:r>
      <w:r w:rsidRPr="00145486">
        <w:rPr>
          <w:rFonts w:ascii="Times New Roman" w:hAnsi="Times New Roman" w:cs="Times New Roman"/>
          <w:sz w:val="26"/>
          <w:szCs w:val="26"/>
          <w:lang w:val="vi-VN"/>
        </w:rPr>
        <w:t xml:space="preserve">, Bắc Kinh. </w:t>
      </w:r>
    </w:p>
    <w:p w14:paraId="2C201D94" w14:textId="77777777" w:rsidR="00D01CC7" w:rsidRPr="00145486" w:rsidRDefault="00D01CC7" w:rsidP="00D01CC7">
      <w:pPr>
        <w:spacing w:before="120" w:after="0" w:line="240" w:lineRule="auto"/>
        <w:jc w:val="both"/>
        <w:rPr>
          <w:rFonts w:ascii="Times New Roman" w:hAnsi="Times New Roman" w:cs="Times New Roman"/>
          <w:i/>
          <w:iCs/>
          <w:sz w:val="26"/>
          <w:szCs w:val="26"/>
          <w:lang w:val="vi-VN"/>
        </w:rPr>
      </w:pPr>
      <w:r w:rsidRPr="00145486">
        <w:rPr>
          <w:rFonts w:ascii="Times New Roman" w:hAnsi="Times New Roman" w:cs="Times New Roman"/>
          <w:sz w:val="26"/>
          <w:szCs w:val="26"/>
          <w:lang w:val="vi-VN"/>
        </w:rPr>
        <w:t xml:space="preserve">8. Tòa án nhân dân tối cao, Viện kiểm sát nhân dân tối cao, Bộ Công an, Bộ An ninh quốc gia và Bộ tư pháp Trung Quốc (2020), </w:t>
      </w:r>
      <w:r w:rsidRPr="00145486">
        <w:rPr>
          <w:rFonts w:ascii="Times New Roman" w:hAnsi="Times New Roman" w:cs="Times New Roman"/>
          <w:i/>
          <w:iCs/>
          <w:sz w:val="26"/>
          <w:szCs w:val="26"/>
          <w:lang w:val="vi-VN"/>
        </w:rPr>
        <w:t xml:space="preserve">Thông tư số 06/2020 về Biện pháp làm việc của luật sư làm nhiệm vụ trợ giúp pháp lý, </w:t>
      </w:r>
      <w:r w:rsidRPr="00145486">
        <w:rPr>
          <w:rFonts w:ascii="Times New Roman" w:hAnsi="Times New Roman" w:cs="Times New Roman"/>
          <w:sz w:val="26"/>
          <w:szCs w:val="26"/>
          <w:lang w:val="vi-VN"/>
        </w:rPr>
        <w:t>Bắc Kinh.</w:t>
      </w:r>
      <w:r w:rsidRPr="00145486">
        <w:rPr>
          <w:rFonts w:ascii="Times New Roman" w:hAnsi="Times New Roman" w:cs="Times New Roman"/>
          <w:i/>
          <w:iCs/>
          <w:sz w:val="26"/>
          <w:szCs w:val="26"/>
          <w:lang w:val="vi-VN"/>
        </w:rPr>
        <w:t xml:space="preserve"> </w:t>
      </w:r>
    </w:p>
    <w:p w14:paraId="671B7DA6" w14:textId="212BC3A8" w:rsidR="00D01CC7" w:rsidRPr="00145486" w:rsidRDefault="00D01CC7" w:rsidP="00D01CC7">
      <w:pPr>
        <w:spacing w:before="120" w:after="0" w:line="240" w:lineRule="auto"/>
        <w:jc w:val="both"/>
        <w:rPr>
          <w:rFonts w:ascii="Times New Roman" w:hAnsi="Times New Roman" w:cs="Times New Roman"/>
          <w:sz w:val="26"/>
          <w:szCs w:val="26"/>
          <w:lang w:val="vi-VN"/>
        </w:rPr>
      </w:pPr>
      <w:r w:rsidRPr="00145486">
        <w:rPr>
          <w:rFonts w:ascii="Times New Roman" w:hAnsi="Times New Roman" w:cs="Times New Roman"/>
          <w:sz w:val="26"/>
          <w:szCs w:val="26"/>
          <w:lang w:val="vi-VN"/>
        </w:rPr>
        <w:t xml:space="preserve">9. Tòa án nhân dân tối cao Trung Quốc (2020), </w:t>
      </w:r>
      <w:r w:rsidRPr="00145486">
        <w:rPr>
          <w:rFonts w:ascii="Times New Roman" w:hAnsi="Times New Roman" w:cs="Times New Roman"/>
          <w:i/>
          <w:iCs/>
          <w:sz w:val="26"/>
          <w:szCs w:val="26"/>
          <w:lang w:val="vi-VN"/>
        </w:rPr>
        <w:t>Giải thích của Tòa án Nhân dân Tối cao về việc áp dụng Luật Tố tụng hình sự của Cộng hòa Nhân dân Trung Hoa ban hành ngày 07/12/2020,</w:t>
      </w:r>
      <w:r w:rsidRPr="00145486">
        <w:rPr>
          <w:rFonts w:ascii="Times New Roman" w:hAnsi="Times New Roman" w:cs="Times New Roman"/>
          <w:sz w:val="26"/>
          <w:szCs w:val="26"/>
          <w:lang w:val="vi-VN"/>
        </w:rPr>
        <w:t xml:space="preserve"> Bắc Kinh.</w:t>
      </w:r>
    </w:p>
    <w:p w14:paraId="24B02834" w14:textId="77777777" w:rsidR="00D01CC7" w:rsidRPr="00145486" w:rsidRDefault="00D01CC7" w:rsidP="00D01CC7">
      <w:pPr>
        <w:spacing w:before="120" w:after="0" w:line="240" w:lineRule="auto"/>
        <w:jc w:val="both"/>
        <w:rPr>
          <w:rFonts w:ascii="Times New Roman" w:hAnsi="Times New Roman" w:cs="Times New Roman"/>
          <w:sz w:val="26"/>
          <w:szCs w:val="26"/>
          <w:lang w:val="vi-VN"/>
        </w:rPr>
      </w:pPr>
      <w:r w:rsidRPr="00145486">
        <w:rPr>
          <w:rFonts w:ascii="Times New Roman" w:hAnsi="Times New Roman" w:cs="Times New Roman"/>
          <w:sz w:val="26"/>
          <w:szCs w:val="26"/>
          <w:lang w:val="vi-VN"/>
        </w:rPr>
        <w:t xml:space="preserve">10. Tòa án nhân dân tối cao, Viện kiểm sát nhân dân tối cao, Bộ Công an, Bộ An ninh quốc gia, Bộ Tư pháp (2020), </w:t>
      </w:r>
      <w:r w:rsidRPr="00145486">
        <w:rPr>
          <w:rFonts w:ascii="Times New Roman" w:hAnsi="Times New Roman" w:cs="Times New Roman"/>
          <w:i/>
          <w:iCs/>
          <w:sz w:val="26"/>
          <w:szCs w:val="26"/>
          <w:lang w:val="vi-VN"/>
        </w:rPr>
        <w:t xml:space="preserve">Thông báo về việc ban hành Quy chế “Biện pháp làm việc đối với luật sư làm nhiệm vụ trợ giúp pháp lý”, </w:t>
      </w:r>
      <w:r w:rsidRPr="00145486">
        <w:rPr>
          <w:rFonts w:ascii="Times New Roman" w:hAnsi="Times New Roman" w:cs="Times New Roman"/>
          <w:sz w:val="26"/>
          <w:szCs w:val="26"/>
          <w:lang w:val="vi-VN"/>
        </w:rPr>
        <w:t xml:space="preserve">Bắc Kinh. </w:t>
      </w:r>
    </w:p>
    <w:p w14:paraId="15031B6D" w14:textId="77777777" w:rsidR="00D01CC7" w:rsidRPr="00145486" w:rsidRDefault="00D01CC7" w:rsidP="00D01CC7">
      <w:pPr>
        <w:spacing w:before="120" w:after="0" w:line="240" w:lineRule="auto"/>
        <w:jc w:val="both"/>
        <w:rPr>
          <w:rFonts w:ascii="Times New Roman" w:hAnsi="Times New Roman" w:cs="Times New Roman"/>
          <w:sz w:val="26"/>
          <w:szCs w:val="26"/>
          <w:lang w:val="vi-VN"/>
        </w:rPr>
      </w:pPr>
      <w:r w:rsidRPr="00145486">
        <w:rPr>
          <w:rFonts w:ascii="Times New Roman" w:hAnsi="Times New Roman" w:cs="Times New Roman"/>
          <w:sz w:val="26"/>
          <w:szCs w:val="26"/>
          <w:lang w:val="vi-VN"/>
        </w:rPr>
        <w:t xml:space="preserve">11. Viện Kiểm sát nhân dân tối cao (2021), </w:t>
      </w:r>
      <w:r w:rsidRPr="00145486">
        <w:rPr>
          <w:rFonts w:ascii="Times New Roman" w:hAnsi="Times New Roman" w:cs="Times New Roman"/>
          <w:i/>
          <w:iCs/>
          <w:sz w:val="26"/>
          <w:szCs w:val="26"/>
          <w:lang w:val="vi-VN"/>
        </w:rPr>
        <w:t xml:space="preserve">Sách trắng về truy tố trẻ vị thành niên, </w:t>
      </w:r>
      <w:r w:rsidRPr="00145486">
        <w:rPr>
          <w:rFonts w:ascii="Times New Roman" w:hAnsi="Times New Roman" w:cs="Times New Roman"/>
          <w:sz w:val="26"/>
          <w:szCs w:val="26"/>
          <w:lang w:val="vi-VN"/>
        </w:rPr>
        <w:t xml:space="preserve">Bắc Kinh. </w:t>
      </w:r>
    </w:p>
    <w:p w14:paraId="333FD17B" w14:textId="77777777" w:rsidR="00D01CC7" w:rsidRPr="00145486" w:rsidRDefault="00D01CC7" w:rsidP="00D01CC7">
      <w:pPr>
        <w:spacing w:before="120" w:after="0" w:line="240" w:lineRule="auto"/>
        <w:jc w:val="both"/>
        <w:rPr>
          <w:rFonts w:ascii="Times New Roman" w:hAnsi="Times New Roman" w:cs="Times New Roman"/>
          <w:sz w:val="26"/>
          <w:szCs w:val="26"/>
          <w:lang w:val="vi-VN"/>
        </w:rPr>
      </w:pPr>
      <w:r w:rsidRPr="00145486">
        <w:rPr>
          <w:rFonts w:ascii="Times New Roman" w:hAnsi="Times New Roman" w:cs="Times New Roman"/>
          <w:sz w:val="26"/>
          <w:szCs w:val="26"/>
          <w:lang w:val="vi-VN"/>
        </w:rPr>
        <w:lastRenderedPageBreak/>
        <w:t xml:space="preserve">12. </w:t>
      </w:r>
      <w:r w:rsidRPr="00207DA6">
        <w:rPr>
          <w:rFonts w:ascii="Times New Roman" w:hAnsi="Times New Roman" w:cs="Times New Roman"/>
          <w:sz w:val="26"/>
          <w:szCs w:val="26"/>
          <w:lang w:val="vi-VN"/>
        </w:rPr>
        <w:t>Bộ Công an Trung Quốc</w:t>
      </w:r>
      <w:r w:rsidRPr="00145486">
        <w:rPr>
          <w:rFonts w:ascii="Times New Roman" w:hAnsi="Times New Roman" w:cs="Times New Roman"/>
          <w:sz w:val="26"/>
          <w:szCs w:val="26"/>
          <w:lang w:val="vi-VN"/>
        </w:rPr>
        <w:t xml:space="preserve">, </w:t>
      </w:r>
      <w:r w:rsidRPr="00207DA6">
        <w:rPr>
          <w:rFonts w:ascii="Times New Roman" w:hAnsi="Times New Roman" w:cs="Times New Roman"/>
          <w:i/>
          <w:iCs/>
          <w:sz w:val="26"/>
          <w:szCs w:val="26"/>
          <w:lang w:val="vi-VN"/>
        </w:rPr>
        <w:t>Quy chế điều tra lý lịch tư pháp của cơ quan Công an</w:t>
      </w:r>
      <w:r w:rsidRPr="00145486">
        <w:rPr>
          <w:rFonts w:ascii="Times New Roman" w:hAnsi="Times New Roman" w:cs="Times New Roman"/>
          <w:i/>
          <w:iCs/>
          <w:sz w:val="26"/>
          <w:szCs w:val="26"/>
          <w:lang w:val="vi-VN"/>
        </w:rPr>
        <w:t xml:space="preserve"> </w:t>
      </w:r>
      <w:r w:rsidRPr="00F505BF">
        <w:rPr>
          <w:rFonts w:ascii="Times New Roman" w:hAnsi="Times New Roman" w:cs="Times New Roman"/>
          <w:i/>
          <w:iCs/>
          <w:sz w:val="26"/>
          <w:szCs w:val="26"/>
          <w:lang w:val="vi-VN"/>
        </w:rPr>
        <w:t>có hiệu lực vào ngày 31/12/2021</w:t>
      </w:r>
      <w:r w:rsidRPr="00145486">
        <w:rPr>
          <w:rFonts w:ascii="Times New Roman" w:hAnsi="Times New Roman" w:cs="Times New Roman"/>
          <w:i/>
          <w:iCs/>
          <w:sz w:val="26"/>
          <w:szCs w:val="26"/>
          <w:lang w:val="vi-VN"/>
        </w:rPr>
        <w:t>,</w:t>
      </w:r>
      <w:r w:rsidRPr="00145486">
        <w:rPr>
          <w:rFonts w:ascii="Times New Roman" w:hAnsi="Times New Roman" w:cs="Times New Roman"/>
          <w:sz w:val="26"/>
          <w:szCs w:val="26"/>
          <w:lang w:val="vi-VN"/>
        </w:rPr>
        <w:t xml:space="preserve"> Bắc Kinh. </w:t>
      </w:r>
    </w:p>
    <w:p w14:paraId="32542DF5" w14:textId="77777777" w:rsidR="00D01CC7" w:rsidRPr="00145486" w:rsidRDefault="00D01CC7" w:rsidP="00D01CC7">
      <w:pPr>
        <w:spacing w:before="120" w:after="0" w:line="240" w:lineRule="auto"/>
        <w:jc w:val="both"/>
        <w:rPr>
          <w:rFonts w:ascii="Times New Roman" w:hAnsi="Times New Roman" w:cs="Times New Roman"/>
          <w:sz w:val="26"/>
          <w:szCs w:val="26"/>
          <w:lang w:val="vi-VN"/>
        </w:rPr>
      </w:pPr>
      <w:r w:rsidRPr="00145486">
        <w:rPr>
          <w:rFonts w:ascii="Times New Roman" w:hAnsi="Times New Roman" w:cs="Times New Roman"/>
          <w:sz w:val="26"/>
          <w:szCs w:val="26"/>
          <w:lang w:val="vi-VN"/>
        </w:rPr>
        <w:t xml:space="preserve">13. </w:t>
      </w:r>
      <w:r w:rsidRPr="00D93071">
        <w:rPr>
          <w:rFonts w:ascii="Times New Roman" w:hAnsi="Times New Roman" w:cs="Times New Roman"/>
          <w:sz w:val="26"/>
          <w:szCs w:val="26"/>
          <w:lang w:val="vi-VN"/>
        </w:rPr>
        <w:t>Tòa án nhân dân tối cao, Viện kiểm sát nhân dân tối cao, Bộ công an, Bộ tư pháp</w:t>
      </w:r>
      <w:r w:rsidRPr="0086456D">
        <w:rPr>
          <w:rFonts w:ascii="Times New Roman" w:hAnsi="Times New Roman" w:cs="Times New Roman"/>
          <w:sz w:val="26"/>
          <w:szCs w:val="26"/>
          <w:lang w:val="vi-VN"/>
        </w:rPr>
        <w:t xml:space="preserve"> Trung Qu</w:t>
      </w:r>
      <w:r w:rsidRPr="00961B50">
        <w:rPr>
          <w:rFonts w:ascii="Times New Roman" w:hAnsi="Times New Roman" w:cs="Times New Roman"/>
          <w:sz w:val="26"/>
          <w:szCs w:val="26"/>
          <w:lang w:val="vi-VN"/>
        </w:rPr>
        <w:t>ốc</w:t>
      </w:r>
      <w:r w:rsidRPr="00145486">
        <w:rPr>
          <w:rFonts w:ascii="Times New Roman" w:hAnsi="Times New Roman" w:cs="Times New Roman"/>
          <w:sz w:val="26"/>
          <w:szCs w:val="26"/>
          <w:lang w:val="vi-VN"/>
        </w:rPr>
        <w:t xml:space="preserve"> (2022), </w:t>
      </w:r>
      <w:r w:rsidRPr="00D93071">
        <w:rPr>
          <w:rFonts w:ascii="Times New Roman" w:hAnsi="Times New Roman" w:cs="Times New Roman"/>
          <w:i/>
          <w:iCs/>
          <w:sz w:val="26"/>
          <w:szCs w:val="26"/>
          <w:lang w:val="vi-VN"/>
        </w:rPr>
        <w:t>Biện pháp thực hiện niêm phong hồ sơ tội phạm vị thành niên</w:t>
      </w:r>
      <w:r w:rsidRPr="00D93071">
        <w:rPr>
          <w:rFonts w:ascii="Times New Roman" w:hAnsi="Times New Roman" w:cs="Times New Roman"/>
          <w:sz w:val="26"/>
          <w:szCs w:val="26"/>
          <w:lang w:val="vi-VN"/>
        </w:rPr>
        <w:t xml:space="preserve"> </w:t>
      </w:r>
      <w:r w:rsidRPr="00145486">
        <w:rPr>
          <w:rFonts w:ascii="Times New Roman" w:hAnsi="Times New Roman" w:cs="Times New Roman"/>
          <w:i/>
          <w:iCs/>
          <w:sz w:val="26"/>
          <w:szCs w:val="26"/>
          <w:lang w:val="vi-VN"/>
        </w:rPr>
        <w:t xml:space="preserve">ngày </w:t>
      </w:r>
      <w:r w:rsidRPr="00F505BF">
        <w:rPr>
          <w:rFonts w:ascii="Times New Roman" w:hAnsi="Times New Roman" w:cs="Times New Roman"/>
          <w:i/>
          <w:iCs/>
          <w:sz w:val="26"/>
          <w:szCs w:val="26"/>
          <w:lang w:val="vi-VN"/>
        </w:rPr>
        <w:t>24/05/2022</w:t>
      </w:r>
      <w:r w:rsidRPr="00145486">
        <w:rPr>
          <w:rFonts w:ascii="Times New Roman" w:hAnsi="Times New Roman" w:cs="Times New Roman"/>
          <w:sz w:val="26"/>
          <w:szCs w:val="26"/>
          <w:lang w:val="vi-VN"/>
        </w:rPr>
        <w:t xml:space="preserve">, Bắc Kinh. </w:t>
      </w:r>
    </w:p>
    <w:p w14:paraId="6273D469" w14:textId="77777777" w:rsidR="00D01CC7" w:rsidRPr="00145486" w:rsidRDefault="00D01CC7" w:rsidP="00D01CC7">
      <w:pPr>
        <w:spacing w:before="120" w:after="0" w:line="240" w:lineRule="auto"/>
        <w:jc w:val="both"/>
        <w:rPr>
          <w:rFonts w:ascii="Times New Roman" w:hAnsi="Times New Roman" w:cs="Times New Roman"/>
          <w:sz w:val="26"/>
          <w:szCs w:val="26"/>
          <w:lang w:val="vi-VN"/>
        </w:rPr>
      </w:pPr>
      <w:r w:rsidRPr="00145486">
        <w:rPr>
          <w:rFonts w:ascii="Times New Roman" w:hAnsi="Times New Roman" w:cs="Times New Roman"/>
          <w:sz w:val="26"/>
          <w:szCs w:val="26"/>
          <w:lang w:val="vi-VN"/>
        </w:rPr>
        <w:t xml:space="preserve">14. Tòa án nhân dân tối cao, Viện kiểm sát nhân dân tối cao, Bộ Công an, Bộ Tư pháp (2022), </w:t>
      </w:r>
      <w:r w:rsidRPr="00145486">
        <w:rPr>
          <w:rFonts w:ascii="Times New Roman" w:hAnsi="Times New Roman" w:cs="Times New Roman"/>
          <w:i/>
          <w:iCs/>
          <w:sz w:val="26"/>
          <w:szCs w:val="26"/>
          <w:lang w:val="vi-VN"/>
        </w:rPr>
        <w:t>Thông báo về việc ban hành “Biện pháp thi hành niêm phong lý lịch người chưa thành niên”</w:t>
      </w:r>
      <w:r w:rsidRPr="00145486">
        <w:rPr>
          <w:rFonts w:ascii="Times New Roman" w:hAnsi="Times New Roman" w:cs="Times New Roman"/>
          <w:sz w:val="26"/>
          <w:szCs w:val="26"/>
          <w:lang w:val="vi-VN"/>
        </w:rPr>
        <w:t xml:space="preserve">, Bắc Kinh. </w:t>
      </w:r>
    </w:p>
    <w:p w14:paraId="10A8BA22" w14:textId="77777777" w:rsidR="00D01CC7" w:rsidRPr="00145486" w:rsidRDefault="00D01CC7" w:rsidP="00D01CC7">
      <w:pPr>
        <w:spacing w:before="120" w:after="0" w:line="240" w:lineRule="auto"/>
        <w:jc w:val="both"/>
        <w:rPr>
          <w:rFonts w:ascii="Times New Roman" w:hAnsi="Times New Roman" w:cs="Times New Roman"/>
          <w:sz w:val="26"/>
          <w:szCs w:val="26"/>
          <w:lang w:val="vi-VN"/>
        </w:rPr>
      </w:pPr>
      <w:r w:rsidRPr="00145486">
        <w:rPr>
          <w:rFonts w:ascii="Times New Roman" w:hAnsi="Times New Roman" w:cs="Times New Roman"/>
          <w:sz w:val="26"/>
          <w:szCs w:val="26"/>
          <w:lang w:val="vi-VN"/>
        </w:rPr>
        <w:t>15. Bộ tư Pháp Trung Quốc (2023),</w:t>
      </w:r>
      <w:r w:rsidRPr="00145486">
        <w:rPr>
          <w:lang w:val="vi-VN"/>
        </w:rPr>
        <w:t xml:space="preserve"> </w:t>
      </w:r>
      <w:r w:rsidRPr="00145486">
        <w:rPr>
          <w:rFonts w:ascii="Times New Roman" w:hAnsi="Times New Roman" w:cs="Times New Roman"/>
          <w:i/>
          <w:iCs/>
          <w:sz w:val="26"/>
          <w:szCs w:val="26"/>
          <w:lang w:val="vi-VN"/>
        </w:rPr>
        <w:t>Quy trình tố tụng giải quyết vụ việc trợ giúp pháp lý có hiệu lực từ ngày 1/09/2023</w:t>
      </w:r>
      <w:r w:rsidRPr="00145486">
        <w:rPr>
          <w:rFonts w:ascii="Times New Roman" w:hAnsi="Times New Roman" w:cs="Times New Roman"/>
          <w:sz w:val="26"/>
          <w:szCs w:val="26"/>
          <w:lang w:val="vi-VN"/>
        </w:rPr>
        <w:t xml:space="preserve">, Bắc Kinh.   </w:t>
      </w:r>
    </w:p>
    <w:p w14:paraId="33F952BD" w14:textId="77777777" w:rsidR="00D01CC7" w:rsidRPr="00145486" w:rsidRDefault="00D01CC7" w:rsidP="00D01CC7">
      <w:pPr>
        <w:spacing w:before="120" w:after="0" w:line="240" w:lineRule="auto"/>
        <w:jc w:val="both"/>
        <w:rPr>
          <w:rFonts w:ascii="Times New Roman" w:hAnsi="Times New Roman" w:cs="Times New Roman"/>
          <w:sz w:val="26"/>
          <w:szCs w:val="26"/>
          <w:lang w:val="vi-VN"/>
        </w:rPr>
      </w:pPr>
      <w:r w:rsidRPr="00145486">
        <w:rPr>
          <w:rFonts w:ascii="Times New Roman" w:hAnsi="Times New Roman" w:cs="Times New Roman"/>
          <w:sz w:val="26"/>
          <w:szCs w:val="26"/>
          <w:lang w:val="vi-VN"/>
        </w:rPr>
        <w:t>16. Tan Shanshan Zhu Xiaodan Cao Cong (2021), Thanh thiếu niên bỏ học dễ phạm tội, “Cô nhạn” ai quan tâm?,</w:t>
      </w:r>
      <w:r w:rsidRPr="00145486">
        <w:rPr>
          <w:rFonts w:ascii="Times New Roman" w:hAnsi="Times New Roman" w:cs="Times New Roman"/>
          <w:i/>
          <w:iCs/>
          <w:sz w:val="26"/>
          <w:szCs w:val="26"/>
          <w:lang w:val="vi-VN"/>
        </w:rPr>
        <w:t xml:space="preserve"> Viện kiểm sát hàng ngày.</w:t>
      </w:r>
      <w:r w:rsidRPr="00145486">
        <w:rPr>
          <w:rFonts w:ascii="Times New Roman" w:hAnsi="Times New Roman" w:cs="Times New Roman"/>
          <w:sz w:val="26"/>
          <w:szCs w:val="26"/>
          <w:lang w:val="vi-VN"/>
        </w:rPr>
        <w:t xml:space="preserve"> </w:t>
      </w:r>
    </w:p>
    <w:p w14:paraId="1BD2BB25" w14:textId="1D52ABC4" w:rsidR="00040571" w:rsidRPr="00D51ACE" w:rsidRDefault="00D01CC7" w:rsidP="00D51ACE">
      <w:pPr>
        <w:spacing w:before="120" w:after="0" w:line="240" w:lineRule="auto"/>
        <w:jc w:val="both"/>
        <w:rPr>
          <w:rFonts w:ascii="Times New Roman" w:hAnsi="Times New Roman" w:cs="Times New Roman"/>
          <w:i/>
          <w:iCs/>
          <w:sz w:val="26"/>
          <w:szCs w:val="26"/>
          <w:lang w:val="vi-VN"/>
        </w:rPr>
      </w:pPr>
      <w:r w:rsidRPr="00145486">
        <w:rPr>
          <w:rFonts w:ascii="Times New Roman" w:hAnsi="Times New Roman" w:cs="Times New Roman"/>
          <w:sz w:val="26"/>
          <w:szCs w:val="26"/>
          <w:lang w:val="vi-VN"/>
        </w:rPr>
        <w:t>17. Thẩm Nghị (2021), Nghiên cứu, tìm hiểu lý luận về hệ thống hình sự người chưa thành niên</w:t>
      </w:r>
      <w:r w:rsidRPr="00145486">
        <w:rPr>
          <w:rFonts w:ascii="Times New Roman" w:hAnsi="Times New Roman" w:cs="Times New Roman"/>
          <w:i/>
          <w:iCs/>
          <w:sz w:val="26"/>
          <w:szCs w:val="26"/>
          <w:lang w:val="vi-VN"/>
        </w:rPr>
        <w:t>,</w:t>
      </w:r>
      <w:r w:rsidRPr="00145486">
        <w:rPr>
          <w:rFonts w:ascii="Times New Roman" w:hAnsi="Times New Roman" w:cs="Times New Roman"/>
          <w:sz w:val="26"/>
          <w:szCs w:val="26"/>
          <w:lang w:val="vi-VN"/>
        </w:rPr>
        <w:t xml:space="preserve"> </w:t>
      </w:r>
      <w:r w:rsidRPr="00145486">
        <w:rPr>
          <w:rFonts w:ascii="Times New Roman" w:hAnsi="Times New Roman" w:cs="Times New Roman"/>
          <w:i/>
          <w:iCs/>
          <w:sz w:val="26"/>
          <w:szCs w:val="26"/>
          <w:lang w:val="vi-VN"/>
        </w:rPr>
        <w:t>Giáo dục pháp luật cho trẻ vị thành niên.</w:t>
      </w:r>
    </w:p>
    <w:sectPr w:rsidR="00040571" w:rsidRPr="00D51ACE" w:rsidSect="009A6717">
      <w:footerReference w:type="default" r:id="rId8"/>
      <w:pgSz w:w="12240" w:h="15840"/>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1DBAD" w14:textId="77777777" w:rsidR="005F16B5" w:rsidRDefault="005F16B5" w:rsidP="003035A5">
      <w:pPr>
        <w:spacing w:after="0" w:line="240" w:lineRule="auto"/>
      </w:pPr>
      <w:r>
        <w:separator/>
      </w:r>
    </w:p>
  </w:endnote>
  <w:endnote w:type="continuationSeparator" w:id="0">
    <w:p w14:paraId="60E98CF9" w14:textId="77777777" w:rsidR="005F16B5" w:rsidRDefault="005F16B5" w:rsidP="00303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409824"/>
      <w:docPartObj>
        <w:docPartGallery w:val="Page Numbers (Bottom of Page)"/>
        <w:docPartUnique/>
      </w:docPartObj>
    </w:sdtPr>
    <w:sdtEndPr>
      <w:rPr>
        <w:rFonts w:ascii="Times New Roman" w:hAnsi="Times New Roman" w:cs="Times New Roman"/>
        <w:noProof/>
        <w:sz w:val="26"/>
        <w:szCs w:val="26"/>
      </w:rPr>
    </w:sdtEndPr>
    <w:sdtContent>
      <w:p w14:paraId="5768E020" w14:textId="631F131A" w:rsidR="00C81E5E" w:rsidRPr="00C81E5E" w:rsidRDefault="00C81E5E" w:rsidP="00C81E5E">
        <w:pPr>
          <w:pStyle w:val="Footer"/>
          <w:jc w:val="right"/>
          <w:rPr>
            <w:rFonts w:ascii="Times New Roman" w:hAnsi="Times New Roman" w:cs="Times New Roman"/>
            <w:sz w:val="26"/>
            <w:szCs w:val="26"/>
          </w:rPr>
        </w:pPr>
        <w:r w:rsidRPr="00C81E5E">
          <w:rPr>
            <w:rFonts w:ascii="Times New Roman" w:hAnsi="Times New Roman" w:cs="Times New Roman"/>
            <w:sz w:val="26"/>
            <w:szCs w:val="26"/>
          </w:rPr>
          <w:fldChar w:fldCharType="begin"/>
        </w:r>
        <w:r w:rsidRPr="00C81E5E">
          <w:rPr>
            <w:rFonts w:ascii="Times New Roman" w:hAnsi="Times New Roman" w:cs="Times New Roman"/>
            <w:sz w:val="26"/>
            <w:szCs w:val="26"/>
          </w:rPr>
          <w:instrText xml:space="preserve"> PAGE   \* MERGEFORMAT </w:instrText>
        </w:r>
        <w:r w:rsidRPr="00C81E5E">
          <w:rPr>
            <w:rFonts w:ascii="Times New Roman" w:hAnsi="Times New Roman" w:cs="Times New Roman"/>
            <w:sz w:val="26"/>
            <w:szCs w:val="26"/>
          </w:rPr>
          <w:fldChar w:fldCharType="separate"/>
        </w:r>
        <w:r w:rsidRPr="00C81E5E">
          <w:rPr>
            <w:rFonts w:ascii="Times New Roman" w:hAnsi="Times New Roman" w:cs="Times New Roman"/>
            <w:noProof/>
            <w:sz w:val="26"/>
            <w:szCs w:val="26"/>
          </w:rPr>
          <w:t>2</w:t>
        </w:r>
        <w:r w:rsidRPr="00C81E5E">
          <w:rPr>
            <w:rFonts w:ascii="Times New Roman" w:hAnsi="Times New Roman" w:cs="Times New Roman"/>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40A73" w14:textId="77777777" w:rsidR="005F16B5" w:rsidRDefault="005F16B5" w:rsidP="003035A5">
      <w:pPr>
        <w:spacing w:after="0" w:line="240" w:lineRule="auto"/>
      </w:pPr>
      <w:r>
        <w:separator/>
      </w:r>
    </w:p>
  </w:footnote>
  <w:footnote w:type="continuationSeparator" w:id="0">
    <w:p w14:paraId="7307BDF2" w14:textId="77777777" w:rsidR="005F16B5" w:rsidRDefault="005F16B5" w:rsidP="003035A5">
      <w:pPr>
        <w:spacing w:after="0" w:line="240" w:lineRule="auto"/>
      </w:pPr>
      <w:r>
        <w:continuationSeparator/>
      </w:r>
    </w:p>
  </w:footnote>
  <w:footnote w:id="1">
    <w:p w14:paraId="5918C2FD" w14:textId="77777777" w:rsidR="00EE0917" w:rsidRPr="00B318C8" w:rsidRDefault="00EE0917" w:rsidP="00EE0917">
      <w:pPr>
        <w:pStyle w:val="FootnoteText"/>
        <w:rPr>
          <w:rFonts w:ascii="Times New Roman" w:hAnsi="Times New Roman" w:cs="Times New Roman"/>
        </w:rPr>
      </w:pPr>
      <w:r w:rsidRPr="00B318C8">
        <w:rPr>
          <w:rStyle w:val="FootnoteReference"/>
          <w:rFonts w:ascii="Times New Roman" w:hAnsi="Times New Roman" w:cs="Times New Roman"/>
        </w:rPr>
        <w:footnoteRef/>
      </w:r>
      <w:r w:rsidRPr="00B318C8">
        <w:rPr>
          <w:rFonts w:ascii="Times New Roman" w:hAnsi="Times New Roman" w:cs="Times New Roman"/>
        </w:rPr>
        <w:t xml:space="preserve"> Phạm Ngọc Hải, Giám đốc Công ty Luật TNHH Một thành viên AMI; Email: </w:t>
      </w:r>
      <w:hyperlink r:id="rId1" w:history="1">
        <w:r w:rsidRPr="00B318C8">
          <w:rPr>
            <w:rStyle w:val="Hyperlink"/>
            <w:rFonts w:ascii="Times New Roman" w:hAnsi="Times New Roman" w:cs="Times New Roman"/>
          </w:rPr>
          <w:t>luatsungochai@gmail.com</w:t>
        </w:r>
      </w:hyperlink>
      <w:r w:rsidRPr="00B318C8">
        <w:rPr>
          <w:rFonts w:ascii="Times New Roman" w:hAnsi="Times New Roman" w:cs="Times New Roman"/>
        </w:rPr>
        <w:t>; Số điện thoại: 0935 669 085.</w:t>
      </w:r>
    </w:p>
  </w:footnote>
  <w:footnote w:id="2">
    <w:p w14:paraId="25FD4026" w14:textId="77777777" w:rsidR="00EE0917" w:rsidRPr="00B318C8" w:rsidRDefault="00EE0917" w:rsidP="00EE0917">
      <w:pPr>
        <w:pStyle w:val="FootnoteText"/>
        <w:rPr>
          <w:rFonts w:ascii="Times New Roman" w:hAnsi="Times New Roman" w:cs="Times New Roman"/>
        </w:rPr>
      </w:pPr>
      <w:r w:rsidRPr="00B318C8">
        <w:rPr>
          <w:rStyle w:val="FootnoteReference"/>
          <w:rFonts w:ascii="Times New Roman" w:hAnsi="Times New Roman" w:cs="Times New Roman"/>
        </w:rPr>
        <w:footnoteRef/>
      </w:r>
      <w:r w:rsidRPr="00B318C8">
        <w:rPr>
          <w:rFonts w:ascii="Times New Roman" w:hAnsi="Times New Roman" w:cs="Times New Roman"/>
        </w:rPr>
        <w:t xml:space="preserve"> Li Chong Mao, Chánh văn phòng, Chi Nhánh Văn Phòng Luật Sư Duy Quán Quảng Tây Tại Hà Nội; Email: </w:t>
      </w:r>
      <w:hyperlink r:id="rId2" w:history="1">
        <w:r w:rsidRPr="00B318C8">
          <w:rPr>
            <w:rStyle w:val="Hyperlink"/>
            <w:rFonts w:ascii="Times New Roman" w:hAnsi="Times New Roman" w:cs="Times New Roman"/>
          </w:rPr>
          <w:t>lichongmao@weiguanlaw.com</w:t>
        </w:r>
      </w:hyperlink>
      <w:r w:rsidRPr="00B318C8">
        <w:rPr>
          <w:rFonts w:ascii="Times New Roman" w:hAnsi="Times New Roman" w:cs="Times New Roman"/>
        </w:rPr>
        <w:t>; Số điện thoại:</w:t>
      </w:r>
      <w:r w:rsidRPr="00B318C8">
        <w:t xml:space="preserve"> </w:t>
      </w:r>
      <w:r w:rsidRPr="00B318C8">
        <w:rPr>
          <w:rFonts w:ascii="Times New Roman" w:hAnsi="Times New Roman" w:cs="Times New Roman"/>
        </w:rPr>
        <w:t>0915</w:t>
      </w:r>
      <w:r>
        <w:rPr>
          <w:rFonts w:ascii="Times New Roman" w:hAnsi="Times New Roman" w:cs="Times New Roman"/>
        </w:rPr>
        <w:t xml:space="preserve"> </w:t>
      </w:r>
      <w:r w:rsidRPr="00B318C8">
        <w:rPr>
          <w:rFonts w:ascii="Times New Roman" w:hAnsi="Times New Roman" w:cs="Times New Roman"/>
        </w:rPr>
        <w:t>686</w:t>
      </w:r>
      <w:r>
        <w:rPr>
          <w:rFonts w:ascii="Times New Roman" w:hAnsi="Times New Roman" w:cs="Times New Roman"/>
        </w:rPr>
        <w:t xml:space="preserve"> </w:t>
      </w:r>
      <w:r w:rsidRPr="00B318C8">
        <w:rPr>
          <w:rFonts w:ascii="Times New Roman" w:hAnsi="Times New Roman" w:cs="Times New Roman"/>
        </w:rPr>
        <w:t>196.</w:t>
      </w:r>
    </w:p>
  </w:footnote>
  <w:footnote w:id="3">
    <w:p w14:paraId="7F92BC48" w14:textId="77777777" w:rsidR="00EE0917" w:rsidRDefault="00EE0917" w:rsidP="00EE0917">
      <w:pPr>
        <w:pStyle w:val="FootnoteText"/>
      </w:pPr>
      <w:r w:rsidRPr="00B318C8">
        <w:rPr>
          <w:rStyle w:val="FootnoteReference"/>
          <w:rFonts w:ascii="Times New Roman" w:hAnsi="Times New Roman" w:cs="Times New Roman"/>
        </w:rPr>
        <w:footnoteRef/>
      </w:r>
      <w:r w:rsidRPr="00B318C8">
        <w:rPr>
          <w:rFonts w:ascii="Times New Roman" w:hAnsi="Times New Roman" w:cs="Times New Roman"/>
        </w:rPr>
        <w:t xml:space="preserve"> Phan Thúy Hoài, Chuyên viên pháp lý Công ty Luật TNHH Một thành viên AMI; Email: </w:t>
      </w:r>
      <w:hyperlink r:id="rId3" w:history="1">
        <w:r w:rsidRPr="00B318C8">
          <w:rPr>
            <w:rStyle w:val="Hyperlink"/>
            <w:rFonts w:ascii="Times New Roman" w:hAnsi="Times New Roman" w:cs="Times New Roman"/>
          </w:rPr>
          <w:t>phanthuyhoai1403@gmail.com</w:t>
        </w:r>
      </w:hyperlink>
      <w:r w:rsidRPr="00B318C8">
        <w:rPr>
          <w:rFonts w:ascii="Times New Roman" w:hAnsi="Times New Roman" w:cs="Times New Roman"/>
        </w:rPr>
        <w:t>; Số điện thoại: 0399 207 252.</w:t>
      </w:r>
    </w:p>
  </w:footnote>
  <w:footnote w:id="4">
    <w:p w14:paraId="6F6C0249" w14:textId="77777777" w:rsidR="007608AA" w:rsidRDefault="007608AA" w:rsidP="007608AA">
      <w:pPr>
        <w:pStyle w:val="FootnoteText"/>
      </w:pPr>
      <w:r>
        <w:rPr>
          <w:rStyle w:val="FootnoteReference"/>
        </w:rPr>
        <w:footnoteRef/>
      </w:r>
      <w:r>
        <w:t xml:space="preserve"> Điều 13 Bộ luật tố tụng hình sự 2015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C92CA0"/>
    <w:multiLevelType w:val="hybridMultilevel"/>
    <w:tmpl w:val="EF483898"/>
    <w:lvl w:ilvl="0" w:tplc="6E726F5E">
      <w:start w:val="4"/>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37741E90"/>
    <w:multiLevelType w:val="hybridMultilevel"/>
    <w:tmpl w:val="8028F6EA"/>
    <w:lvl w:ilvl="0" w:tplc="CE144B7C">
      <w:start w:val="1"/>
      <w:numFmt w:val="lowerRoman"/>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15:restartNumberingAfterBreak="0">
    <w:nsid w:val="39EB1BD1"/>
    <w:multiLevelType w:val="hybridMultilevel"/>
    <w:tmpl w:val="84B45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5C6F95"/>
    <w:multiLevelType w:val="hybridMultilevel"/>
    <w:tmpl w:val="C6C27FA6"/>
    <w:lvl w:ilvl="0" w:tplc="A5D676E6">
      <w:start w:val="4"/>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15:restartNumberingAfterBreak="0">
    <w:nsid w:val="643D56D6"/>
    <w:multiLevelType w:val="hybridMultilevel"/>
    <w:tmpl w:val="A230A840"/>
    <w:lvl w:ilvl="0" w:tplc="9E5E09F0">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6BF43FF5"/>
    <w:multiLevelType w:val="hybridMultilevel"/>
    <w:tmpl w:val="EDBA84D0"/>
    <w:lvl w:ilvl="0" w:tplc="88B86C1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123D5B"/>
    <w:multiLevelType w:val="hybridMultilevel"/>
    <w:tmpl w:val="120CA0F6"/>
    <w:lvl w:ilvl="0" w:tplc="4EB4E482">
      <w:start w:val="1"/>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732067FB"/>
    <w:multiLevelType w:val="hybridMultilevel"/>
    <w:tmpl w:val="314EF8BC"/>
    <w:lvl w:ilvl="0" w:tplc="B9766DBC">
      <w:start w:val="2"/>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2"/>
  </w:num>
  <w:num w:numId="2">
    <w:abstractNumId w:val="5"/>
  </w:num>
  <w:num w:numId="3">
    <w:abstractNumId w:val="7"/>
  </w:num>
  <w:num w:numId="4">
    <w:abstractNumId w:val="1"/>
  </w:num>
  <w:num w:numId="5">
    <w:abstractNumId w:val="6"/>
  </w:num>
  <w:num w:numId="6">
    <w:abstractNumId w:val="3"/>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351"/>
    <w:rsid w:val="000001DB"/>
    <w:rsid w:val="00000286"/>
    <w:rsid w:val="000010F7"/>
    <w:rsid w:val="000012AE"/>
    <w:rsid w:val="00005D90"/>
    <w:rsid w:val="00010309"/>
    <w:rsid w:val="000107A2"/>
    <w:rsid w:val="000113B9"/>
    <w:rsid w:val="00011894"/>
    <w:rsid w:val="00012232"/>
    <w:rsid w:val="00012668"/>
    <w:rsid w:val="00015D33"/>
    <w:rsid w:val="000160B5"/>
    <w:rsid w:val="00017232"/>
    <w:rsid w:val="00020943"/>
    <w:rsid w:val="00021FE3"/>
    <w:rsid w:val="00023C24"/>
    <w:rsid w:val="00026917"/>
    <w:rsid w:val="0003049B"/>
    <w:rsid w:val="0003080B"/>
    <w:rsid w:val="00033027"/>
    <w:rsid w:val="0003508D"/>
    <w:rsid w:val="000354D1"/>
    <w:rsid w:val="00040571"/>
    <w:rsid w:val="00041326"/>
    <w:rsid w:val="00041377"/>
    <w:rsid w:val="0004181C"/>
    <w:rsid w:val="00047AB8"/>
    <w:rsid w:val="000511D7"/>
    <w:rsid w:val="00054A04"/>
    <w:rsid w:val="00056191"/>
    <w:rsid w:val="00056F3C"/>
    <w:rsid w:val="00061405"/>
    <w:rsid w:val="00063C62"/>
    <w:rsid w:val="00066038"/>
    <w:rsid w:val="0006697F"/>
    <w:rsid w:val="00067D17"/>
    <w:rsid w:val="000747F3"/>
    <w:rsid w:val="00074CB1"/>
    <w:rsid w:val="00076AD5"/>
    <w:rsid w:val="00080F63"/>
    <w:rsid w:val="000812C0"/>
    <w:rsid w:val="00081E37"/>
    <w:rsid w:val="000822EA"/>
    <w:rsid w:val="00083B05"/>
    <w:rsid w:val="000860C6"/>
    <w:rsid w:val="000866AB"/>
    <w:rsid w:val="00087F99"/>
    <w:rsid w:val="0009007C"/>
    <w:rsid w:val="00091B16"/>
    <w:rsid w:val="0009214C"/>
    <w:rsid w:val="00093CFD"/>
    <w:rsid w:val="0009493A"/>
    <w:rsid w:val="00096565"/>
    <w:rsid w:val="000969D3"/>
    <w:rsid w:val="000A0989"/>
    <w:rsid w:val="000A1826"/>
    <w:rsid w:val="000A38DC"/>
    <w:rsid w:val="000A3A2F"/>
    <w:rsid w:val="000A4C28"/>
    <w:rsid w:val="000A6CA2"/>
    <w:rsid w:val="000A74F8"/>
    <w:rsid w:val="000B3537"/>
    <w:rsid w:val="000B37E5"/>
    <w:rsid w:val="000B5F71"/>
    <w:rsid w:val="000B662D"/>
    <w:rsid w:val="000B6DAB"/>
    <w:rsid w:val="000B7FF7"/>
    <w:rsid w:val="000C25F4"/>
    <w:rsid w:val="000C3F2B"/>
    <w:rsid w:val="000C4C27"/>
    <w:rsid w:val="000C5D51"/>
    <w:rsid w:val="000C6A8B"/>
    <w:rsid w:val="000D07D3"/>
    <w:rsid w:val="000D0BFA"/>
    <w:rsid w:val="000D12F4"/>
    <w:rsid w:val="000D1F43"/>
    <w:rsid w:val="000D2062"/>
    <w:rsid w:val="000D2327"/>
    <w:rsid w:val="000D28A0"/>
    <w:rsid w:val="000D300F"/>
    <w:rsid w:val="000D3390"/>
    <w:rsid w:val="000D42F1"/>
    <w:rsid w:val="000D4D34"/>
    <w:rsid w:val="000D5134"/>
    <w:rsid w:val="000D51A3"/>
    <w:rsid w:val="000D5394"/>
    <w:rsid w:val="000D5C02"/>
    <w:rsid w:val="000D5C5D"/>
    <w:rsid w:val="000D6D0C"/>
    <w:rsid w:val="000E04FC"/>
    <w:rsid w:val="000E09C4"/>
    <w:rsid w:val="000E2F6A"/>
    <w:rsid w:val="000E4A80"/>
    <w:rsid w:val="000E5547"/>
    <w:rsid w:val="000E6097"/>
    <w:rsid w:val="000F04DE"/>
    <w:rsid w:val="000F0FD0"/>
    <w:rsid w:val="000F1008"/>
    <w:rsid w:val="000F1B4A"/>
    <w:rsid w:val="000F2865"/>
    <w:rsid w:val="000F5769"/>
    <w:rsid w:val="000F623D"/>
    <w:rsid w:val="0010185A"/>
    <w:rsid w:val="00104D62"/>
    <w:rsid w:val="001053E4"/>
    <w:rsid w:val="001058FE"/>
    <w:rsid w:val="00107AA5"/>
    <w:rsid w:val="001107E1"/>
    <w:rsid w:val="00112B21"/>
    <w:rsid w:val="00115A65"/>
    <w:rsid w:val="00116EAA"/>
    <w:rsid w:val="00116FDA"/>
    <w:rsid w:val="00123070"/>
    <w:rsid w:val="0012344C"/>
    <w:rsid w:val="00123C20"/>
    <w:rsid w:val="001253C7"/>
    <w:rsid w:val="00126424"/>
    <w:rsid w:val="0012750B"/>
    <w:rsid w:val="0013114A"/>
    <w:rsid w:val="001318FE"/>
    <w:rsid w:val="0013224A"/>
    <w:rsid w:val="00132AE2"/>
    <w:rsid w:val="00133C64"/>
    <w:rsid w:val="00135795"/>
    <w:rsid w:val="001362BD"/>
    <w:rsid w:val="00136803"/>
    <w:rsid w:val="001404CC"/>
    <w:rsid w:val="00141F7C"/>
    <w:rsid w:val="001422C5"/>
    <w:rsid w:val="0014247A"/>
    <w:rsid w:val="00143FEC"/>
    <w:rsid w:val="00146499"/>
    <w:rsid w:val="00146BD6"/>
    <w:rsid w:val="001535CB"/>
    <w:rsid w:val="0015433A"/>
    <w:rsid w:val="001566CC"/>
    <w:rsid w:val="0015692E"/>
    <w:rsid w:val="00157EE6"/>
    <w:rsid w:val="00161EEE"/>
    <w:rsid w:val="00163C11"/>
    <w:rsid w:val="00165EA3"/>
    <w:rsid w:val="00166649"/>
    <w:rsid w:val="0016718B"/>
    <w:rsid w:val="0017032D"/>
    <w:rsid w:val="00170895"/>
    <w:rsid w:val="0017090F"/>
    <w:rsid w:val="00170D34"/>
    <w:rsid w:val="00174272"/>
    <w:rsid w:val="00175862"/>
    <w:rsid w:val="00175A6B"/>
    <w:rsid w:val="001761D9"/>
    <w:rsid w:val="0017648C"/>
    <w:rsid w:val="00176E39"/>
    <w:rsid w:val="00177E73"/>
    <w:rsid w:val="00181157"/>
    <w:rsid w:val="00182BDB"/>
    <w:rsid w:val="001836B1"/>
    <w:rsid w:val="0018381D"/>
    <w:rsid w:val="0018430E"/>
    <w:rsid w:val="00185858"/>
    <w:rsid w:val="001875EE"/>
    <w:rsid w:val="001877E2"/>
    <w:rsid w:val="00187FD1"/>
    <w:rsid w:val="00190C8C"/>
    <w:rsid w:val="00196932"/>
    <w:rsid w:val="00196C27"/>
    <w:rsid w:val="001970E2"/>
    <w:rsid w:val="00197E42"/>
    <w:rsid w:val="001A03AC"/>
    <w:rsid w:val="001A3087"/>
    <w:rsid w:val="001A46DE"/>
    <w:rsid w:val="001A65C5"/>
    <w:rsid w:val="001A664A"/>
    <w:rsid w:val="001B07DD"/>
    <w:rsid w:val="001B0DD0"/>
    <w:rsid w:val="001B180E"/>
    <w:rsid w:val="001B1F77"/>
    <w:rsid w:val="001B24A5"/>
    <w:rsid w:val="001B25B6"/>
    <w:rsid w:val="001B462A"/>
    <w:rsid w:val="001B501A"/>
    <w:rsid w:val="001B51A0"/>
    <w:rsid w:val="001B56DA"/>
    <w:rsid w:val="001B5B17"/>
    <w:rsid w:val="001B6FF4"/>
    <w:rsid w:val="001C303B"/>
    <w:rsid w:val="001C3966"/>
    <w:rsid w:val="001C5389"/>
    <w:rsid w:val="001C614A"/>
    <w:rsid w:val="001C6283"/>
    <w:rsid w:val="001C7462"/>
    <w:rsid w:val="001D1A63"/>
    <w:rsid w:val="001D480F"/>
    <w:rsid w:val="001D4F49"/>
    <w:rsid w:val="001D6537"/>
    <w:rsid w:val="001D6B9D"/>
    <w:rsid w:val="001E42A4"/>
    <w:rsid w:val="001E454D"/>
    <w:rsid w:val="001E499F"/>
    <w:rsid w:val="001E6327"/>
    <w:rsid w:val="001E66B0"/>
    <w:rsid w:val="001E7C3F"/>
    <w:rsid w:val="001F1838"/>
    <w:rsid w:val="001F1848"/>
    <w:rsid w:val="001F257F"/>
    <w:rsid w:val="001F3971"/>
    <w:rsid w:val="001F4701"/>
    <w:rsid w:val="001F47D0"/>
    <w:rsid w:val="001F66D2"/>
    <w:rsid w:val="001F6E90"/>
    <w:rsid w:val="001F7507"/>
    <w:rsid w:val="001F7E5B"/>
    <w:rsid w:val="00200472"/>
    <w:rsid w:val="00200603"/>
    <w:rsid w:val="002022D8"/>
    <w:rsid w:val="002026B4"/>
    <w:rsid w:val="00205BA3"/>
    <w:rsid w:val="00207DA6"/>
    <w:rsid w:val="00211F22"/>
    <w:rsid w:val="0021206C"/>
    <w:rsid w:val="00212682"/>
    <w:rsid w:val="00212830"/>
    <w:rsid w:val="00213F1F"/>
    <w:rsid w:val="00214956"/>
    <w:rsid w:val="00214FF2"/>
    <w:rsid w:val="00216295"/>
    <w:rsid w:val="0021643F"/>
    <w:rsid w:val="00220AF5"/>
    <w:rsid w:val="00221EFC"/>
    <w:rsid w:val="00225870"/>
    <w:rsid w:val="00227622"/>
    <w:rsid w:val="0023182C"/>
    <w:rsid w:val="00233776"/>
    <w:rsid w:val="00233AF6"/>
    <w:rsid w:val="00236A7E"/>
    <w:rsid w:val="00237C94"/>
    <w:rsid w:val="0024025A"/>
    <w:rsid w:val="00242EAE"/>
    <w:rsid w:val="00243535"/>
    <w:rsid w:val="00246B8D"/>
    <w:rsid w:val="00250A63"/>
    <w:rsid w:val="002523B7"/>
    <w:rsid w:val="002526CA"/>
    <w:rsid w:val="00253A22"/>
    <w:rsid w:val="00253A94"/>
    <w:rsid w:val="00254BD2"/>
    <w:rsid w:val="00257C29"/>
    <w:rsid w:val="002603F6"/>
    <w:rsid w:val="00261557"/>
    <w:rsid w:val="00261DD5"/>
    <w:rsid w:val="00264520"/>
    <w:rsid w:val="00265749"/>
    <w:rsid w:val="002673E5"/>
    <w:rsid w:val="0027362A"/>
    <w:rsid w:val="002742C0"/>
    <w:rsid w:val="0027563B"/>
    <w:rsid w:val="0027623F"/>
    <w:rsid w:val="00276A0A"/>
    <w:rsid w:val="00276A1D"/>
    <w:rsid w:val="00277D53"/>
    <w:rsid w:val="00281102"/>
    <w:rsid w:val="00281AF1"/>
    <w:rsid w:val="002825AE"/>
    <w:rsid w:val="002836F8"/>
    <w:rsid w:val="002868A4"/>
    <w:rsid w:val="00287B02"/>
    <w:rsid w:val="00291B03"/>
    <w:rsid w:val="00291E24"/>
    <w:rsid w:val="00292E6B"/>
    <w:rsid w:val="0029367E"/>
    <w:rsid w:val="002950E1"/>
    <w:rsid w:val="002A12B8"/>
    <w:rsid w:val="002A413F"/>
    <w:rsid w:val="002A5158"/>
    <w:rsid w:val="002A7FD1"/>
    <w:rsid w:val="002B02D6"/>
    <w:rsid w:val="002B0B86"/>
    <w:rsid w:val="002B1C61"/>
    <w:rsid w:val="002B1C8D"/>
    <w:rsid w:val="002B203F"/>
    <w:rsid w:val="002B21CF"/>
    <w:rsid w:val="002B47CC"/>
    <w:rsid w:val="002B504F"/>
    <w:rsid w:val="002B62A8"/>
    <w:rsid w:val="002C2CCF"/>
    <w:rsid w:val="002C4DAD"/>
    <w:rsid w:val="002C6BAF"/>
    <w:rsid w:val="002D12ED"/>
    <w:rsid w:val="002D2324"/>
    <w:rsid w:val="002D29CE"/>
    <w:rsid w:val="002D356B"/>
    <w:rsid w:val="002D35CA"/>
    <w:rsid w:val="002D47CA"/>
    <w:rsid w:val="002D59DB"/>
    <w:rsid w:val="002D7DD4"/>
    <w:rsid w:val="002E0B23"/>
    <w:rsid w:val="002E29D8"/>
    <w:rsid w:val="002E366D"/>
    <w:rsid w:val="002E3769"/>
    <w:rsid w:val="002E642F"/>
    <w:rsid w:val="002E6C08"/>
    <w:rsid w:val="002F1594"/>
    <w:rsid w:val="002F1A94"/>
    <w:rsid w:val="002F1FDF"/>
    <w:rsid w:val="002F3710"/>
    <w:rsid w:val="002F4332"/>
    <w:rsid w:val="00300C60"/>
    <w:rsid w:val="00300D43"/>
    <w:rsid w:val="00301D14"/>
    <w:rsid w:val="003035A5"/>
    <w:rsid w:val="003044BA"/>
    <w:rsid w:val="00305745"/>
    <w:rsid w:val="00305DE4"/>
    <w:rsid w:val="00307047"/>
    <w:rsid w:val="00307D1F"/>
    <w:rsid w:val="00307E79"/>
    <w:rsid w:val="00311609"/>
    <w:rsid w:val="00313AD7"/>
    <w:rsid w:val="003158C6"/>
    <w:rsid w:val="00315C63"/>
    <w:rsid w:val="00320ED3"/>
    <w:rsid w:val="003224D5"/>
    <w:rsid w:val="003269DB"/>
    <w:rsid w:val="00327BEC"/>
    <w:rsid w:val="003321B0"/>
    <w:rsid w:val="00333F87"/>
    <w:rsid w:val="00335357"/>
    <w:rsid w:val="00337F4A"/>
    <w:rsid w:val="00343693"/>
    <w:rsid w:val="003459F1"/>
    <w:rsid w:val="003473A5"/>
    <w:rsid w:val="0035295A"/>
    <w:rsid w:val="00352BD5"/>
    <w:rsid w:val="00354A57"/>
    <w:rsid w:val="003576C8"/>
    <w:rsid w:val="003606F4"/>
    <w:rsid w:val="00360A9D"/>
    <w:rsid w:val="003617B2"/>
    <w:rsid w:val="00361A8E"/>
    <w:rsid w:val="003627E2"/>
    <w:rsid w:val="00363833"/>
    <w:rsid w:val="00364355"/>
    <w:rsid w:val="0036566B"/>
    <w:rsid w:val="00365752"/>
    <w:rsid w:val="00367A37"/>
    <w:rsid w:val="00367BB8"/>
    <w:rsid w:val="00370918"/>
    <w:rsid w:val="003709E4"/>
    <w:rsid w:val="00370F70"/>
    <w:rsid w:val="00371664"/>
    <w:rsid w:val="0037272A"/>
    <w:rsid w:val="00374236"/>
    <w:rsid w:val="003746EE"/>
    <w:rsid w:val="00375818"/>
    <w:rsid w:val="00376591"/>
    <w:rsid w:val="00381934"/>
    <w:rsid w:val="003819C7"/>
    <w:rsid w:val="00381AB9"/>
    <w:rsid w:val="00382AB0"/>
    <w:rsid w:val="00384212"/>
    <w:rsid w:val="003846DE"/>
    <w:rsid w:val="0038606E"/>
    <w:rsid w:val="003939ED"/>
    <w:rsid w:val="0039476A"/>
    <w:rsid w:val="003948BB"/>
    <w:rsid w:val="00395990"/>
    <w:rsid w:val="00397094"/>
    <w:rsid w:val="003A218E"/>
    <w:rsid w:val="003A5C97"/>
    <w:rsid w:val="003A5F41"/>
    <w:rsid w:val="003A6295"/>
    <w:rsid w:val="003B0572"/>
    <w:rsid w:val="003B0B3D"/>
    <w:rsid w:val="003B1F7B"/>
    <w:rsid w:val="003B36C6"/>
    <w:rsid w:val="003B588A"/>
    <w:rsid w:val="003B75B4"/>
    <w:rsid w:val="003C1CE2"/>
    <w:rsid w:val="003C20A4"/>
    <w:rsid w:val="003C28FD"/>
    <w:rsid w:val="003C37C8"/>
    <w:rsid w:val="003C4363"/>
    <w:rsid w:val="003C71AB"/>
    <w:rsid w:val="003D07ED"/>
    <w:rsid w:val="003D1FA3"/>
    <w:rsid w:val="003D2EE4"/>
    <w:rsid w:val="003D2EF4"/>
    <w:rsid w:val="003D49A5"/>
    <w:rsid w:val="003D5FEA"/>
    <w:rsid w:val="003E0D88"/>
    <w:rsid w:val="003E10B6"/>
    <w:rsid w:val="003E122C"/>
    <w:rsid w:val="003E24C6"/>
    <w:rsid w:val="003E3AB6"/>
    <w:rsid w:val="003E3D0B"/>
    <w:rsid w:val="003E5890"/>
    <w:rsid w:val="003E609D"/>
    <w:rsid w:val="003E60D5"/>
    <w:rsid w:val="003E60F9"/>
    <w:rsid w:val="003F1F64"/>
    <w:rsid w:val="003F20D7"/>
    <w:rsid w:val="003F2B50"/>
    <w:rsid w:val="003F44A7"/>
    <w:rsid w:val="003F5A21"/>
    <w:rsid w:val="0040004F"/>
    <w:rsid w:val="00400ED5"/>
    <w:rsid w:val="00404DFD"/>
    <w:rsid w:val="004056B5"/>
    <w:rsid w:val="00406283"/>
    <w:rsid w:val="00417FBF"/>
    <w:rsid w:val="004205B2"/>
    <w:rsid w:val="0042077C"/>
    <w:rsid w:val="00420E24"/>
    <w:rsid w:val="00421245"/>
    <w:rsid w:val="004228E6"/>
    <w:rsid w:val="0042328C"/>
    <w:rsid w:val="0042381F"/>
    <w:rsid w:val="00423AD9"/>
    <w:rsid w:val="00424DB0"/>
    <w:rsid w:val="00425DBE"/>
    <w:rsid w:val="004308A3"/>
    <w:rsid w:val="00431D25"/>
    <w:rsid w:val="00433796"/>
    <w:rsid w:val="00436D2C"/>
    <w:rsid w:val="00440F6E"/>
    <w:rsid w:val="00442225"/>
    <w:rsid w:val="00443C24"/>
    <w:rsid w:val="0044416F"/>
    <w:rsid w:val="004448BE"/>
    <w:rsid w:val="00445A4C"/>
    <w:rsid w:val="004517B3"/>
    <w:rsid w:val="00455563"/>
    <w:rsid w:val="00456F0B"/>
    <w:rsid w:val="0046077F"/>
    <w:rsid w:val="004623F0"/>
    <w:rsid w:val="00463098"/>
    <w:rsid w:val="00464E9F"/>
    <w:rsid w:val="004671CB"/>
    <w:rsid w:val="00470556"/>
    <w:rsid w:val="00470B32"/>
    <w:rsid w:val="0047182B"/>
    <w:rsid w:val="00471917"/>
    <w:rsid w:val="004726DC"/>
    <w:rsid w:val="00472B91"/>
    <w:rsid w:val="004756FB"/>
    <w:rsid w:val="00480076"/>
    <w:rsid w:val="00480529"/>
    <w:rsid w:val="00481E2C"/>
    <w:rsid w:val="00485F46"/>
    <w:rsid w:val="00490277"/>
    <w:rsid w:val="00491CC5"/>
    <w:rsid w:val="00492CCF"/>
    <w:rsid w:val="00495D68"/>
    <w:rsid w:val="00496BFB"/>
    <w:rsid w:val="004A19E5"/>
    <w:rsid w:val="004A28F0"/>
    <w:rsid w:val="004A609A"/>
    <w:rsid w:val="004A6767"/>
    <w:rsid w:val="004A6FD8"/>
    <w:rsid w:val="004A73FE"/>
    <w:rsid w:val="004A7661"/>
    <w:rsid w:val="004B2E60"/>
    <w:rsid w:val="004B4D84"/>
    <w:rsid w:val="004B5BC8"/>
    <w:rsid w:val="004C0235"/>
    <w:rsid w:val="004C0D5F"/>
    <w:rsid w:val="004C19A8"/>
    <w:rsid w:val="004C19DF"/>
    <w:rsid w:val="004C2F29"/>
    <w:rsid w:val="004C3644"/>
    <w:rsid w:val="004C3917"/>
    <w:rsid w:val="004C4E28"/>
    <w:rsid w:val="004C4FBD"/>
    <w:rsid w:val="004C5014"/>
    <w:rsid w:val="004C60AA"/>
    <w:rsid w:val="004C65FA"/>
    <w:rsid w:val="004D0359"/>
    <w:rsid w:val="004D0873"/>
    <w:rsid w:val="004D0B90"/>
    <w:rsid w:val="004D0F6B"/>
    <w:rsid w:val="004D34A9"/>
    <w:rsid w:val="004D4DF6"/>
    <w:rsid w:val="004D614A"/>
    <w:rsid w:val="004D6A63"/>
    <w:rsid w:val="004D75BF"/>
    <w:rsid w:val="004E10B9"/>
    <w:rsid w:val="004E2E36"/>
    <w:rsid w:val="004E3EAC"/>
    <w:rsid w:val="004E53F5"/>
    <w:rsid w:val="004E6C9D"/>
    <w:rsid w:val="004E78C3"/>
    <w:rsid w:val="004F30AE"/>
    <w:rsid w:val="004F426C"/>
    <w:rsid w:val="004F4422"/>
    <w:rsid w:val="004F4FF8"/>
    <w:rsid w:val="004F6005"/>
    <w:rsid w:val="004F63C7"/>
    <w:rsid w:val="004F6FCD"/>
    <w:rsid w:val="004F7414"/>
    <w:rsid w:val="004F7F45"/>
    <w:rsid w:val="00501594"/>
    <w:rsid w:val="00502C6B"/>
    <w:rsid w:val="0050311E"/>
    <w:rsid w:val="005035F9"/>
    <w:rsid w:val="00503BE7"/>
    <w:rsid w:val="00504AF5"/>
    <w:rsid w:val="0050683D"/>
    <w:rsid w:val="005109D0"/>
    <w:rsid w:val="00513757"/>
    <w:rsid w:val="00513D9D"/>
    <w:rsid w:val="0051611D"/>
    <w:rsid w:val="00516182"/>
    <w:rsid w:val="00517295"/>
    <w:rsid w:val="0051781D"/>
    <w:rsid w:val="00517FA6"/>
    <w:rsid w:val="00520601"/>
    <w:rsid w:val="00521EB3"/>
    <w:rsid w:val="00523983"/>
    <w:rsid w:val="005263FB"/>
    <w:rsid w:val="005303A2"/>
    <w:rsid w:val="005309FD"/>
    <w:rsid w:val="00531EED"/>
    <w:rsid w:val="00532EE7"/>
    <w:rsid w:val="0053316D"/>
    <w:rsid w:val="005345AF"/>
    <w:rsid w:val="005350E5"/>
    <w:rsid w:val="005366EA"/>
    <w:rsid w:val="00540493"/>
    <w:rsid w:val="0054170B"/>
    <w:rsid w:val="00543AEA"/>
    <w:rsid w:val="00543D22"/>
    <w:rsid w:val="00544B59"/>
    <w:rsid w:val="0055151B"/>
    <w:rsid w:val="00552FCF"/>
    <w:rsid w:val="00554B79"/>
    <w:rsid w:val="005558E0"/>
    <w:rsid w:val="005562AB"/>
    <w:rsid w:val="0055655D"/>
    <w:rsid w:val="005575C5"/>
    <w:rsid w:val="00557C6C"/>
    <w:rsid w:val="005604DB"/>
    <w:rsid w:val="00562A46"/>
    <w:rsid w:val="00562C55"/>
    <w:rsid w:val="005640AB"/>
    <w:rsid w:val="00566393"/>
    <w:rsid w:val="005721B7"/>
    <w:rsid w:val="005768AF"/>
    <w:rsid w:val="005769E0"/>
    <w:rsid w:val="0057722E"/>
    <w:rsid w:val="00577989"/>
    <w:rsid w:val="00577F03"/>
    <w:rsid w:val="00583E6A"/>
    <w:rsid w:val="005841C2"/>
    <w:rsid w:val="00584A69"/>
    <w:rsid w:val="005850D7"/>
    <w:rsid w:val="0058683A"/>
    <w:rsid w:val="00586EEB"/>
    <w:rsid w:val="00591886"/>
    <w:rsid w:val="005923BE"/>
    <w:rsid w:val="00593003"/>
    <w:rsid w:val="0059369D"/>
    <w:rsid w:val="00595067"/>
    <w:rsid w:val="005967D6"/>
    <w:rsid w:val="005969A4"/>
    <w:rsid w:val="0059792C"/>
    <w:rsid w:val="005A0629"/>
    <w:rsid w:val="005A0E7C"/>
    <w:rsid w:val="005A1781"/>
    <w:rsid w:val="005A1C62"/>
    <w:rsid w:val="005A4484"/>
    <w:rsid w:val="005A5454"/>
    <w:rsid w:val="005A63CE"/>
    <w:rsid w:val="005B121D"/>
    <w:rsid w:val="005B28B1"/>
    <w:rsid w:val="005B3D5E"/>
    <w:rsid w:val="005B585E"/>
    <w:rsid w:val="005B644D"/>
    <w:rsid w:val="005B71A6"/>
    <w:rsid w:val="005C008E"/>
    <w:rsid w:val="005C26FE"/>
    <w:rsid w:val="005C3EF4"/>
    <w:rsid w:val="005C48F3"/>
    <w:rsid w:val="005D25C6"/>
    <w:rsid w:val="005D5AED"/>
    <w:rsid w:val="005E1ADE"/>
    <w:rsid w:val="005E28EC"/>
    <w:rsid w:val="005E2DA0"/>
    <w:rsid w:val="005E3689"/>
    <w:rsid w:val="005E57ED"/>
    <w:rsid w:val="005E5A7A"/>
    <w:rsid w:val="005E5D38"/>
    <w:rsid w:val="005E6363"/>
    <w:rsid w:val="005F16B5"/>
    <w:rsid w:val="005F57A2"/>
    <w:rsid w:val="005F6FC5"/>
    <w:rsid w:val="0060027C"/>
    <w:rsid w:val="00602383"/>
    <w:rsid w:val="00602B4F"/>
    <w:rsid w:val="00602FC7"/>
    <w:rsid w:val="00603B14"/>
    <w:rsid w:val="00603B53"/>
    <w:rsid w:val="006044A5"/>
    <w:rsid w:val="00606B29"/>
    <w:rsid w:val="00607857"/>
    <w:rsid w:val="006105AB"/>
    <w:rsid w:val="00612B7E"/>
    <w:rsid w:val="00612D4C"/>
    <w:rsid w:val="00612EFF"/>
    <w:rsid w:val="00613167"/>
    <w:rsid w:val="00613F1F"/>
    <w:rsid w:val="00614F0E"/>
    <w:rsid w:val="006162AC"/>
    <w:rsid w:val="00616922"/>
    <w:rsid w:val="00616962"/>
    <w:rsid w:val="00621A4A"/>
    <w:rsid w:val="00622904"/>
    <w:rsid w:val="00625BCD"/>
    <w:rsid w:val="00630674"/>
    <w:rsid w:val="006306D9"/>
    <w:rsid w:val="0063150F"/>
    <w:rsid w:val="0063412F"/>
    <w:rsid w:val="00635B02"/>
    <w:rsid w:val="00636999"/>
    <w:rsid w:val="00640A52"/>
    <w:rsid w:val="006424E9"/>
    <w:rsid w:val="0064399D"/>
    <w:rsid w:val="00643D30"/>
    <w:rsid w:val="00647763"/>
    <w:rsid w:val="00650D6A"/>
    <w:rsid w:val="006532A5"/>
    <w:rsid w:val="006539BD"/>
    <w:rsid w:val="00655140"/>
    <w:rsid w:val="0065773C"/>
    <w:rsid w:val="00661D58"/>
    <w:rsid w:val="00664627"/>
    <w:rsid w:val="006650D4"/>
    <w:rsid w:val="00666926"/>
    <w:rsid w:val="00672229"/>
    <w:rsid w:val="006723AB"/>
    <w:rsid w:val="00676BBE"/>
    <w:rsid w:val="00680060"/>
    <w:rsid w:val="006806CB"/>
    <w:rsid w:val="00680993"/>
    <w:rsid w:val="00680A7D"/>
    <w:rsid w:val="0068251A"/>
    <w:rsid w:val="00685CE6"/>
    <w:rsid w:val="00685D50"/>
    <w:rsid w:val="00687116"/>
    <w:rsid w:val="00690DBC"/>
    <w:rsid w:val="006919EF"/>
    <w:rsid w:val="00691FFB"/>
    <w:rsid w:val="00693B08"/>
    <w:rsid w:val="006A0B5D"/>
    <w:rsid w:val="006A0DEB"/>
    <w:rsid w:val="006A1805"/>
    <w:rsid w:val="006A1EAE"/>
    <w:rsid w:val="006A2C49"/>
    <w:rsid w:val="006A2EDF"/>
    <w:rsid w:val="006A4A30"/>
    <w:rsid w:val="006A6351"/>
    <w:rsid w:val="006A6BE6"/>
    <w:rsid w:val="006B111B"/>
    <w:rsid w:val="006B287B"/>
    <w:rsid w:val="006B48DF"/>
    <w:rsid w:val="006B4D8B"/>
    <w:rsid w:val="006B50E7"/>
    <w:rsid w:val="006C1F2E"/>
    <w:rsid w:val="006C4BBF"/>
    <w:rsid w:val="006C4D7B"/>
    <w:rsid w:val="006C5123"/>
    <w:rsid w:val="006C54FC"/>
    <w:rsid w:val="006C61D2"/>
    <w:rsid w:val="006C7037"/>
    <w:rsid w:val="006D2383"/>
    <w:rsid w:val="006D2468"/>
    <w:rsid w:val="006D3063"/>
    <w:rsid w:val="006D481E"/>
    <w:rsid w:val="006D78A1"/>
    <w:rsid w:val="006E1163"/>
    <w:rsid w:val="006E3E10"/>
    <w:rsid w:val="006E4BF3"/>
    <w:rsid w:val="006E532A"/>
    <w:rsid w:val="006E7048"/>
    <w:rsid w:val="006F1BC5"/>
    <w:rsid w:val="006F21A6"/>
    <w:rsid w:val="006F3466"/>
    <w:rsid w:val="006F6FDA"/>
    <w:rsid w:val="0070083C"/>
    <w:rsid w:val="00700E85"/>
    <w:rsid w:val="00702AAA"/>
    <w:rsid w:val="007037B3"/>
    <w:rsid w:val="00705704"/>
    <w:rsid w:val="00705FB8"/>
    <w:rsid w:val="00706091"/>
    <w:rsid w:val="007062D4"/>
    <w:rsid w:val="0070651E"/>
    <w:rsid w:val="007101C1"/>
    <w:rsid w:val="007106C7"/>
    <w:rsid w:val="00711E95"/>
    <w:rsid w:val="007122A4"/>
    <w:rsid w:val="00712FCC"/>
    <w:rsid w:val="00713036"/>
    <w:rsid w:val="00715929"/>
    <w:rsid w:val="00717B91"/>
    <w:rsid w:val="00720045"/>
    <w:rsid w:val="007218F9"/>
    <w:rsid w:val="0072217D"/>
    <w:rsid w:val="007221AD"/>
    <w:rsid w:val="007227FB"/>
    <w:rsid w:val="00722B40"/>
    <w:rsid w:val="007240CF"/>
    <w:rsid w:val="00724AAF"/>
    <w:rsid w:val="0072585C"/>
    <w:rsid w:val="00725999"/>
    <w:rsid w:val="00730E92"/>
    <w:rsid w:val="007311C4"/>
    <w:rsid w:val="007329C0"/>
    <w:rsid w:val="00736292"/>
    <w:rsid w:val="00736349"/>
    <w:rsid w:val="00745465"/>
    <w:rsid w:val="007467DA"/>
    <w:rsid w:val="00746A7C"/>
    <w:rsid w:val="00747748"/>
    <w:rsid w:val="00747E44"/>
    <w:rsid w:val="00751186"/>
    <w:rsid w:val="00751D2D"/>
    <w:rsid w:val="00751D87"/>
    <w:rsid w:val="00755388"/>
    <w:rsid w:val="007608AA"/>
    <w:rsid w:val="00760BD9"/>
    <w:rsid w:val="00764E26"/>
    <w:rsid w:val="00770E22"/>
    <w:rsid w:val="00772BF6"/>
    <w:rsid w:val="00774D13"/>
    <w:rsid w:val="00775BC3"/>
    <w:rsid w:val="00777E20"/>
    <w:rsid w:val="0078089D"/>
    <w:rsid w:val="00780944"/>
    <w:rsid w:val="00781634"/>
    <w:rsid w:val="007828FC"/>
    <w:rsid w:val="007850F3"/>
    <w:rsid w:val="00790F4F"/>
    <w:rsid w:val="00791282"/>
    <w:rsid w:val="00794774"/>
    <w:rsid w:val="00794F24"/>
    <w:rsid w:val="007A042C"/>
    <w:rsid w:val="007A0C76"/>
    <w:rsid w:val="007A19F2"/>
    <w:rsid w:val="007A2CD9"/>
    <w:rsid w:val="007A4178"/>
    <w:rsid w:val="007A46D6"/>
    <w:rsid w:val="007A4C84"/>
    <w:rsid w:val="007A65C7"/>
    <w:rsid w:val="007A73BF"/>
    <w:rsid w:val="007A76E7"/>
    <w:rsid w:val="007B0772"/>
    <w:rsid w:val="007B1B8F"/>
    <w:rsid w:val="007B44B8"/>
    <w:rsid w:val="007B6569"/>
    <w:rsid w:val="007B726E"/>
    <w:rsid w:val="007B77D8"/>
    <w:rsid w:val="007B7CE9"/>
    <w:rsid w:val="007B7FFB"/>
    <w:rsid w:val="007C215C"/>
    <w:rsid w:val="007C6E5E"/>
    <w:rsid w:val="007D04F1"/>
    <w:rsid w:val="007D0D59"/>
    <w:rsid w:val="007D1C46"/>
    <w:rsid w:val="007D40C1"/>
    <w:rsid w:val="007D465D"/>
    <w:rsid w:val="007D49DD"/>
    <w:rsid w:val="007D4D0D"/>
    <w:rsid w:val="007E0E8B"/>
    <w:rsid w:val="007E377A"/>
    <w:rsid w:val="007E3DFD"/>
    <w:rsid w:val="007E48F5"/>
    <w:rsid w:val="007E5B50"/>
    <w:rsid w:val="007E5EFC"/>
    <w:rsid w:val="007E7ED6"/>
    <w:rsid w:val="007F08C2"/>
    <w:rsid w:val="007F2724"/>
    <w:rsid w:val="007F72C0"/>
    <w:rsid w:val="007F7DA8"/>
    <w:rsid w:val="00801CCD"/>
    <w:rsid w:val="00804C80"/>
    <w:rsid w:val="00804E15"/>
    <w:rsid w:val="008118A4"/>
    <w:rsid w:val="0081489F"/>
    <w:rsid w:val="00814F33"/>
    <w:rsid w:val="0081645D"/>
    <w:rsid w:val="008176EC"/>
    <w:rsid w:val="00820985"/>
    <w:rsid w:val="008216F8"/>
    <w:rsid w:val="008218D9"/>
    <w:rsid w:val="008220DD"/>
    <w:rsid w:val="008242AA"/>
    <w:rsid w:val="008249B8"/>
    <w:rsid w:val="00824CD9"/>
    <w:rsid w:val="00825C22"/>
    <w:rsid w:val="00826668"/>
    <w:rsid w:val="008269D9"/>
    <w:rsid w:val="008302F8"/>
    <w:rsid w:val="008318EC"/>
    <w:rsid w:val="00833005"/>
    <w:rsid w:val="008331C0"/>
    <w:rsid w:val="00840CD5"/>
    <w:rsid w:val="008413A6"/>
    <w:rsid w:val="00843C27"/>
    <w:rsid w:val="00845A7F"/>
    <w:rsid w:val="0084768F"/>
    <w:rsid w:val="00847A06"/>
    <w:rsid w:val="00850269"/>
    <w:rsid w:val="00852554"/>
    <w:rsid w:val="00856543"/>
    <w:rsid w:val="00856C45"/>
    <w:rsid w:val="00857050"/>
    <w:rsid w:val="00857A61"/>
    <w:rsid w:val="00860987"/>
    <w:rsid w:val="0086117D"/>
    <w:rsid w:val="0086330A"/>
    <w:rsid w:val="008641A1"/>
    <w:rsid w:val="0086456D"/>
    <w:rsid w:val="00865CE7"/>
    <w:rsid w:val="00866AEA"/>
    <w:rsid w:val="00867A1A"/>
    <w:rsid w:val="0087028E"/>
    <w:rsid w:val="00870A34"/>
    <w:rsid w:val="0087174F"/>
    <w:rsid w:val="00871ED5"/>
    <w:rsid w:val="00872C58"/>
    <w:rsid w:val="00872E9D"/>
    <w:rsid w:val="008744FB"/>
    <w:rsid w:val="00880F76"/>
    <w:rsid w:val="008823AF"/>
    <w:rsid w:val="00884D3C"/>
    <w:rsid w:val="00887EA1"/>
    <w:rsid w:val="00890D4C"/>
    <w:rsid w:val="008911F6"/>
    <w:rsid w:val="00893357"/>
    <w:rsid w:val="008946B1"/>
    <w:rsid w:val="008962F4"/>
    <w:rsid w:val="00897C62"/>
    <w:rsid w:val="008A02B6"/>
    <w:rsid w:val="008A623B"/>
    <w:rsid w:val="008A66B6"/>
    <w:rsid w:val="008A6BEB"/>
    <w:rsid w:val="008A7B6F"/>
    <w:rsid w:val="008B1892"/>
    <w:rsid w:val="008B3AAA"/>
    <w:rsid w:val="008B4FAB"/>
    <w:rsid w:val="008B6DD2"/>
    <w:rsid w:val="008C2327"/>
    <w:rsid w:val="008C2DB1"/>
    <w:rsid w:val="008C7966"/>
    <w:rsid w:val="008D0304"/>
    <w:rsid w:val="008D4676"/>
    <w:rsid w:val="008D4AF5"/>
    <w:rsid w:val="008D4FD8"/>
    <w:rsid w:val="008D51DC"/>
    <w:rsid w:val="008D63FB"/>
    <w:rsid w:val="008E27F4"/>
    <w:rsid w:val="008E4E79"/>
    <w:rsid w:val="008E5459"/>
    <w:rsid w:val="008E5D75"/>
    <w:rsid w:val="008E7C5B"/>
    <w:rsid w:val="008E7FC8"/>
    <w:rsid w:val="008F2550"/>
    <w:rsid w:val="008F2A45"/>
    <w:rsid w:val="008F2DE0"/>
    <w:rsid w:val="008F37D8"/>
    <w:rsid w:val="008F3D01"/>
    <w:rsid w:val="008F427D"/>
    <w:rsid w:val="008F4FF7"/>
    <w:rsid w:val="008F754A"/>
    <w:rsid w:val="008F7DDA"/>
    <w:rsid w:val="00900DE2"/>
    <w:rsid w:val="00902D25"/>
    <w:rsid w:val="00902DAE"/>
    <w:rsid w:val="00904261"/>
    <w:rsid w:val="00905241"/>
    <w:rsid w:val="00910B82"/>
    <w:rsid w:val="00913527"/>
    <w:rsid w:val="00914AF9"/>
    <w:rsid w:val="00916A7D"/>
    <w:rsid w:val="00916BEB"/>
    <w:rsid w:val="00916D59"/>
    <w:rsid w:val="00917FDC"/>
    <w:rsid w:val="00920B9E"/>
    <w:rsid w:val="00924F73"/>
    <w:rsid w:val="00925F17"/>
    <w:rsid w:val="00930854"/>
    <w:rsid w:val="0093162F"/>
    <w:rsid w:val="00932090"/>
    <w:rsid w:val="00932167"/>
    <w:rsid w:val="00932A82"/>
    <w:rsid w:val="0093312C"/>
    <w:rsid w:val="00933335"/>
    <w:rsid w:val="00933DA1"/>
    <w:rsid w:val="00936A95"/>
    <w:rsid w:val="00937C99"/>
    <w:rsid w:val="00940571"/>
    <w:rsid w:val="0094119A"/>
    <w:rsid w:val="00941BBC"/>
    <w:rsid w:val="00942A03"/>
    <w:rsid w:val="0094342B"/>
    <w:rsid w:val="00944EB9"/>
    <w:rsid w:val="0094528C"/>
    <w:rsid w:val="009463E6"/>
    <w:rsid w:val="00947F8D"/>
    <w:rsid w:val="009504BE"/>
    <w:rsid w:val="00952599"/>
    <w:rsid w:val="00955393"/>
    <w:rsid w:val="009574AE"/>
    <w:rsid w:val="00957721"/>
    <w:rsid w:val="00957FDE"/>
    <w:rsid w:val="00960CD2"/>
    <w:rsid w:val="009612F9"/>
    <w:rsid w:val="0096190F"/>
    <w:rsid w:val="00961B50"/>
    <w:rsid w:val="00964ED2"/>
    <w:rsid w:val="00965AA2"/>
    <w:rsid w:val="009663B8"/>
    <w:rsid w:val="0096642A"/>
    <w:rsid w:val="009700A5"/>
    <w:rsid w:val="00970AB8"/>
    <w:rsid w:val="0097195A"/>
    <w:rsid w:val="00972B6D"/>
    <w:rsid w:val="00973278"/>
    <w:rsid w:val="00973462"/>
    <w:rsid w:val="009746D4"/>
    <w:rsid w:val="00974BF0"/>
    <w:rsid w:val="0097654C"/>
    <w:rsid w:val="0097690B"/>
    <w:rsid w:val="00976BC7"/>
    <w:rsid w:val="00980672"/>
    <w:rsid w:val="00980DC5"/>
    <w:rsid w:val="00982A5A"/>
    <w:rsid w:val="009849A8"/>
    <w:rsid w:val="00985522"/>
    <w:rsid w:val="00986FBC"/>
    <w:rsid w:val="00987283"/>
    <w:rsid w:val="00987938"/>
    <w:rsid w:val="00991FF9"/>
    <w:rsid w:val="0099349F"/>
    <w:rsid w:val="00993DA1"/>
    <w:rsid w:val="00996EF5"/>
    <w:rsid w:val="009A0AB6"/>
    <w:rsid w:val="009A19D4"/>
    <w:rsid w:val="009A2C10"/>
    <w:rsid w:val="009A59E9"/>
    <w:rsid w:val="009A62EB"/>
    <w:rsid w:val="009A6691"/>
    <w:rsid w:val="009A6717"/>
    <w:rsid w:val="009A6A9D"/>
    <w:rsid w:val="009A6AC4"/>
    <w:rsid w:val="009A6E60"/>
    <w:rsid w:val="009B0A04"/>
    <w:rsid w:val="009B1DF8"/>
    <w:rsid w:val="009B2C65"/>
    <w:rsid w:val="009B5766"/>
    <w:rsid w:val="009B6078"/>
    <w:rsid w:val="009B670B"/>
    <w:rsid w:val="009C0013"/>
    <w:rsid w:val="009C3171"/>
    <w:rsid w:val="009C7711"/>
    <w:rsid w:val="009D21AA"/>
    <w:rsid w:val="009D23BE"/>
    <w:rsid w:val="009D3A0F"/>
    <w:rsid w:val="009D499F"/>
    <w:rsid w:val="009E0ABF"/>
    <w:rsid w:val="009E0F95"/>
    <w:rsid w:val="009E2AE1"/>
    <w:rsid w:val="009E5473"/>
    <w:rsid w:val="009E5E23"/>
    <w:rsid w:val="009E6B80"/>
    <w:rsid w:val="009F097C"/>
    <w:rsid w:val="009F18F4"/>
    <w:rsid w:val="009F24CF"/>
    <w:rsid w:val="009F28F3"/>
    <w:rsid w:val="009F4235"/>
    <w:rsid w:val="00A00D0E"/>
    <w:rsid w:val="00A0216E"/>
    <w:rsid w:val="00A03A6A"/>
    <w:rsid w:val="00A057AD"/>
    <w:rsid w:val="00A05AA4"/>
    <w:rsid w:val="00A05C84"/>
    <w:rsid w:val="00A07346"/>
    <w:rsid w:val="00A113AF"/>
    <w:rsid w:val="00A11711"/>
    <w:rsid w:val="00A14DB2"/>
    <w:rsid w:val="00A17C67"/>
    <w:rsid w:val="00A20FB3"/>
    <w:rsid w:val="00A2342B"/>
    <w:rsid w:val="00A24EF7"/>
    <w:rsid w:val="00A24F1E"/>
    <w:rsid w:val="00A2632C"/>
    <w:rsid w:val="00A26531"/>
    <w:rsid w:val="00A2740F"/>
    <w:rsid w:val="00A306F6"/>
    <w:rsid w:val="00A335D7"/>
    <w:rsid w:val="00A368CD"/>
    <w:rsid w:val="00A37652"/>
    <w:rsid w:val="00A40C11"/>
    <w:rsid w:val="00A42ADF"/>
    <w:rsid w:val="00A443C6"/>
    <w:rsid w:val="00A478CA"/>
    <w:rsid w:val="00A514D6"/>
    <w:rsid w:val="00A52F22"/>
    <w:rsid w:val="00A53D7F"/>
    <w:rsid w:val="00A54D14"/>
    <w:rsid w:val="00A56419"/>
    <w:rsid w:val="00A5704B"/>
    <w:rsid w:val="00A603ED"/>
    <w:rsid w:val="00A61A68"/>
    <w:rsid w:val="00A65C92"/>
    <w:rsid w:val="00A676CA"/>
    <w:rsid w:val="00A73F04"/>
    <w:rsid w:val="00A73F13"/>
    <w:rsid w:val="00A767FE"/>
    <w:rsid w:val="00A77365"/>
    <w:rsid w:val="00A77E56"/>
    <w:rsid w:val="00A77F6A"/>
    <w:rsid w:val="00A8267B"/>
    <w:rsid w:val="00A8274A"/>
    <w:rsid w:val="00A82ED1"/>
    <w:rsid w:val="00A86944"/>
    <w:rsid w:val="00A878B3"/>
    <w:rsid w:val="00A913F8"/>
    <w:rsid w:val="00A91C30"/>
    <w:rsid w:val="00A925DB"/>
    <w:rsid w:val="00A93ED9"/>
    <w:rsid w:val="00A94B62"/>
    <w:rsid w:val="00A950F3"/>
    <w:rsid w:val="00A952E3"/>
    <w:rsid w:val="00A953EE"/>
    <w:rsid w:val="00A95571"/>
    <w:rsid w:val="00AA04A1"/>
    <w:rsid w:val="00AA1200"/>
    <w:rsid w:val="00AA257A"/>
    <w:rsid w:val="00AA3C99"/>
    <w:rsid w:val="00AA502D"/>
    <w:rsid w:val="00AA590A"/>
    <w:rsid w:val="00AA5B29"/>
    <w:rsid w:val="00AA7ECD"/>
    <w:rsid w:val="00AB0389"/>
    <w:rsid w:val="00AB192A"/>
    <w:rsid w:val="00AB196A"/>
    <w:rsid w:val="00AB1AA9"/>
    <w:rsid w:val="00AB1D94"/>
    <w:rsid w:val="00AB203D"/>
    <w:rsid w:val="00AB3586"/>
    <w:rsid w:val="00AB49C0"/>
    <w:rsid w:val="00AB4A40"/>
    <w:rsid w:val="00AB4D8B"/>
    <w:rsid w:val="00AB5612"/>
    <w:rsid w:val="00AB5B11"/>
    <w:rsid w:val="00AB5CF0"/>
    <w:rsid w:val="00AB5FF0"/>
    <w:rsid w:val="00AB6251"/>
    <w:rsid w:val="00AB72DD"/>
    <w:rsid w:val="00AB736E"/>
    <w:rsid w:val="00AB76D7"/>
    <w:rsid w:val="00AC0856"/>
    <w:rsid w:val="00AC1877"/>
    <w:rsid w:val="00AC1EDB"/>
    <w:rsid w:val="00AC2F21"/>
    <w:rsid w:val="00AC36F9"/>
    <w:rsid w:val="00AC5A78"/>
    <w:rsid w:val="00AD4192"/>
    <w:rsid w:val="00AD5A0C"/>
    <w:rsid w:val="00AD717F"/>
    <w:rsid w:val="00AE12A5"/>
    <w:rsid w:val="00AE15AA"/>
    <w:rsid w:val="00AE1F0D"/>
    <w:rsid w:val="00AE2246"/>
    <w:rsid w:val="00AE306B"/>
    <w:rsid w:val="00AE35BD"/>
    <w:rsid w:val="00AE4CC2"/>
    <w:rsid w:val="00AF2BE1"/>
    <w:rsid w:val="00AF63DF"/>
    <w:rsid w:val="00AF7BF2"/>
    <w:rsid w:val="00B01BD5"/>
    <w:rsid w:val="00B021BA"/>
    <w:rsid w:val="00B02470"/>
    <w:rsid w:val="00B05EB8"/>
    <w:rsid w:val="00B060CE"/>
    <w:rsid w:val="00B062D6"/>
    <w:rsid w:val="00B109E1"/>
    <w:rsid w:val="00B116E7"/>
    <w:rsid w:val="00B11FDA"/>
    <w:rsid w:val="00B137BB"/>
    <w:rsid w:val="00B13961"/>
    <w:rsid w:val="00B14B36"/>
    <w:rsid w:val="00B1519D"/>
    <w:rsid w:val="00B2418E"/>
    <w:rsid w:val="00B24420"/>
    <w:rsid w:val="00B304BE"/>
    <w:rsid w:val="00B349FD"/>
    <w:rsid w:val="00B36245"/>
    <w:rsid w:val="00B3771F"/>
    <w:rsid w:val="00B40058"/>
    <w:rsid w:val="00B4014F"/>
    <w:rsid w:val="00B40979"/>
    <w:rsid w:val="00B40B2C"/>
    <w:rsid w:val="00B45E7C"/>
    <w:rsid w:val="00B463DF"/>
    <w:rsid w:val="00B473CD"/>
    <w:rsid w:val="00B5182D"/>
    <w:rsid w:val="00B54636"/>
    <w:rsid w:val="00B55570"/>
    <w:rsid w:val="00B56711"/>
    <w:rsid w:val="00B607E5"/>
    <w:rsid w:val="00B61E19"/>
    <w:rsid w:val="00B66830"/>
    <w:rsid w:val="00B66BCC"/>
    <w:rsid w:val="00B70F6D"/>
    <w:rsid w:val="00B7189C"/>
    <w:rsid w:val="00B71B30"/>
    <w:rsid w:val="00B723E4"/>
    <w:rsid w:val="00B7277E"/>
    <w:rsid w:val="00B73731"/>
    <w:rsid w:val="00B74FD8"/>
    <w:rsid w:val="00B7580B"/>
    <w:rsid w:val="00B75FD8"/>
    <w:rsid w:val="00B80066"/>
    <w:rsid w:val="00B81F71"/>
    <w:rsid w:val="00B82307"/>
    <w:rsid w:val="00B8236B"/>
    <w:rsid w:val="00B82DFF"/>
    <w:rsid w:val="00B84A93"/>
    <w:rsid w:val="00B86F69"/>
    <w:rsid w:val="00B87BF9"/>
    <w:rsid w:val="00B93F5A"/>
    <w:rsid w:val="00B976A1"/>
    <w:rsid w:val="00BA0EDB"/>
    <w:rsid w:val="00BA161F"/>
    <w:rsid w:val="00BA210E"/>
    <w:rsid w:val="00BA2B63"/>
    <w:rsid w:val="00BA2BC4"/>
    <w:rsid w:val="00BA2F18"/>
    <w:rsid w:val="00BA5FFA"/>
    <w:rsid w:val="00BA7626"/>
    <w:rsid w:val="00BB4DD1"/>
    <w:rsid w:val="00BB54EE"/>
    <w:rsid w:val="00BB56D5"/>
    <w:rsid w:val="00BC1CE4"/>
    <w:rsid w:val="00BC1FC4"/>
    <w:rsid w:val="00BC2BC1"/>
    <w:rsid w:val="00BC6C66"/>
    <w:rsid w:val="00BC791E"/>
    <w:rsid w:val="00BD1EBF"/>
    <w:rsid w:val="00BD3736"/>
    <w:rsid w:val="00BD5AA9"/>
    <w:rsid w:val="00BD5B3D"/>
    <w:rsid w:val="00BD6252"/>
    <w:rsid w:val="00BD7B9A"/>
    <w:rsid w:val="00BE0F9F"/>
    <w:rsid w:val="00BE207E"/>
    <w:rsid w:val="00BE37F8"/>
    <w:rsid w:val="00BE4AE8"/>
    <w:rsid w:val="00BE6644"/>
    <w:rsid w:val="00BE6BB4"/>
    <w:rsid w:val="00BE6D27"/>
    <w:rsid w:val="00BE705D"/>
    <w:rsid w:val="00BE78B3"/>
    <w:rsid w:val="00BF6BF7"/>
    <w:rsid w:val="00BF79AF"/>
    <w:rsid w:val="00C018EE"/>
    <w:rsid w:val="00C01B63"/>
    <w:rsid w:val="00C02F90"/>
    <w:rsid w:val="00C070E4"/>
    <w:rsid w:val="00C07284"/>
    <w:rsid w:val="00C0797D"/>
    <w:rsid w:val="00C07E01"/>
    <w:rsid w:val="00C11275"/>
    <w:rsid w:val="00C11888"/>
    <w:rsid w:val="00C11C0A"/>
    <w:rsid w:val="00C11C1B"/>
    <w:rsid w:val="00C12152"/>
    <w:rsid w:val="00C130DB"/>
    <w:rsid w:val="00C15B13"/>
    <w:rsid w:val="00C2142E"/>
    <w:rsid w:val="00C2346D"/>
    <w:rsid w:val="00C340D5"/>
    <w:rsid w:val="00C3516A"/>
    <w:rsid w:val="00C40708"/>
    <w:rsid w:val="00C43E16"/>
    <w:rsid w:val="00C44622"/>
    <w:rsid w:val="00C452B5"/>
    <w:rsid w:val="00C45404"/>
    <w:rsid w:val="00C46518"/>
    <w:rsid w:val="00C517B6"/>
    <w:rsid w:val="00C51B6C"/>
    <w:rsid w:val="00C534F0"/>
    <w:rsid w:val="00C55D0C"/>
    <w:rsid w:val="00C6375C"/>
    <w:rsid w:val="00C721B0"/>
    <w:rsid w:val="00C722D9"/>
    <w:rsid w:val="00C74C05"/>
    <w:rsid w:val="00C766CB"/>
    <w:rsid w:val="00C769A3"/>
    <w:rsid w:val="00C8056C"/>
    <w:rsid w:val="00C8062B"/>
    <w:rsid w:val="00C80FEA"/>
    <w:rsid w:val="00C8164B"/>
    <w:rsid w:val="00C81767"/>
    <w:rsid w:val="00C81E5E"/>
    <w:rsid w:val="00C82E9E"/>
    <w:rsid w:val="00C855F1"/>
    <w:rsid w:val="00C87EFE"/>
    <w:rsid w:val="00C91547"/>
    <w:rsid w:val="00C91C42"/>
    <w:rsid w:val="00C94166"/>
    <w:rsid w:val="00C959B1"/>
    <w:rsid w:val="00C96356"/>
    <w:rsid w:val="00CA12C1"/>
    <w:rsid w:val="00CA3327"/>
    <w:rsid w:val="00CA5C2A"/>
    <w:rsid w:val="00CA63C7"/>
    <w:rsid w:val="00CA729A"/>
    <w:rsid w:val="00CB29F4"/>
    <w:rsid w:val="00CB485E"/>
    <w:rsid w:val="00CB5053"/>
    <w:rsid w:val="00CB5455"/>
    <w:rsid w:val="00CB76D1"/>
    <w:rsid w:val="00CC06F0"/>
    <w:rsid w:val="00CC1506"/>
    <w:rsid w:val="00CC1F93"/>
    <w:rsid w:val="00CC25F5"/>
    <w:rsid w:val="00CC32E6"/>
    <w:rsid w:val="00CC44A6"/>
    <w:rsid w:val="00CC48BC"/>
    <w:rsid w:val="00CC5320"/>
    <w:rsid w:val="00CC6B65"/>
    <w:rsid w:val="00CC6FCF"/>
    <w:rsid w:val="00CD0104"/>
    <w:rsid w:val="00CD03EE"/>
    <w:rsid w:val="00CD2718"/>
    <w:rsid w:val="00CD597C"/>
    <w:rsid w:val="00CD79C5"/>
    <w:rsid w:val="00CD7A81"/>
    <w:rsid w:val="00CE4014"/>
    <w:rsid w:val="00CE4EE6"/>
    <w:rsid w:val="00CE5B1E"/>
    <w:rsid w:val="00CE64EC"/>
    <w:rsid w:val="00CE6B83"/>
    <w:rsid w:val="00CF348A"/>
    <w:rsid w:val="00CF370A"/>
    <w:rsid w:val="00CF54BF"/>
    <w:rsid w:val="00CF67FA"/>
    <w:rsid w:val="00CF7289"/>
    <w:rsid w:val="00D01CC7"/>
    <w:rsid w:val="00D03BEB"/>
    <w:rsid w:val="00D14B94"/>
    <w:rsid w:val="00D14C9C"/>
    <w:rsid w:val="00D22773"/>
    <w:rsid w:val="00D235FF"/>
    <w:rsid w:val="00D239EA"/>
    <w:rsid w:val="00D272E8"/>
    <w:rsid w:val="00D27DFB"/>
    <w:rsid w:val="00D317BE"/>
    <w:rsid w:val="00D31E6A"/>
    <w:rsid w:val="00D32482"/>
    <w:rsid w:val="00D4064B"/>
    <w:rsid w:val="00D40C08"/>
    <w:rsid w:val="00D43533"/>
    <w:rsid w:val="00D43F4B"/>
    <w:rsid w:val="00D44545"/>
    <w:rsid w:val="00D45167"/>
    <w:rsid w:val="00D47546"/>
    <w:rsid w:val="00D47BEB"/>
    <w:rsid w:val="00D50A0B"/>
    <w:rsid w:val="00D51043"/>
    <w:rsid w:val="00D5124D"/>
    <w:rsid w:val="00D51A7C"/>
    <w:rsid w:val="00D51ACE"/>
    <w:rsid w:val="00D53AB7"/>
    <w:rsid w:val="00D53F84"/>
    <w:rsid w:val="00D54211"/>
    <w:rsid w:val="00D574F9"/>
    <w:rsid w:val="00D57FD1"/>
    <w:rsid w:val="00D600D3"/>
    <w:rsid w:val="00D60291"/>
    <w:rsid w:val="00D604B8"/>
    <w:rsid w:val="00D61955"/>
    <w:rsid w:val="00D62FF2"/>
    <w:rsid w:val="00D70EF8"/>
    <w:rsid w:val="00D72879"/>
    <w:rsid w:val="00D73307"/>
    <w:rsid w:val="00D73B00"/>
    <w:rsid w:val="00D74788"/>
    <w:rsid w:val="00D76688"/>
    <w:rsid w:val="00D808FD"/>
    <w:rsid w:val="00D8149D"/>
    <w:rsid w:val="00D82129"/>
    <w:rsid w:val="00D8326F"/>
    <w:rsid w:val="00D8431A"/>
    <w:rsid w:val="00D849AF"/>
    <w:rsid w:val="00D84AD8"/>
    <w:rsid w:val="00D92717"/>
    <w:rsid w:val="00D93071"/>
    <w:rsid w:val="00D94889"/>
    <w:rsid w:val="00D94B50"/>
    <w:rsid w:val="00DA43B1"/>
    <w:rsid w:val="00DA5CF2"/>
    <w:rsid w:val="00DA77D5"/>
    <w:rsid w:val="00DB07A0"/>
    <w:rsid w:val="00DB0CA2"/>
    <w:rsid w:val="00DB227F"/>
    <w:rsid w:val="00DB454E"/>
    <w:rsid w:val="00DB5269"/>
    <w:rsid w:val="00DB691B"/>
    <w:rsid w:val="00DB7040"/>
    <w:rsid w:val="00DB75CA"/>
    <w:rsid w:val="00DB7CD2"/>
    <w:rsid w:val="00DC13F6"/>
    <w:rsid w:val="00DC17C1"/>
    <w:rsid w:val="00DC292D"/>
    <w:rsid w:val="00DC3710"/>
    <w:rsid w:val="00DC6393"/>
    <w:rsid w:val="00DC6CF5"/>
    <w:rsid w:val="00DC73D1"/>
    <w:rsid w:val="00DC754F"/>
    <w:rsid w:val="00DD16FC"/>
    <w:rsid w:val="00DD24A4"/>
    <w:rsid w:val="00DD26AD"/>
    <w:rsid w:val="00DD2B55"/>
    <w:rsid w:val="00DD2DB4"/>
    <w:rsid w:val="00DD6682"/>
    <w:rsid w:val="00DE00B9"/>
    <w:rsid w:val="00DE0FFC"/>
    <w:rsid w:val="00DE1472"/>
    <w:rsid w:val="00DE15B0"/>
    <w:rsid w:val="00DE6D6F"/>
    <w:rsid w:val="00DE745E"/>
    <w:rsid w:val="00DF06EF"/>
    <w:rsid w:val="00DF15D0"/>
    <w:rsid w:val="00DF53D5"/>
    <w:rsid w:val="00DF56E4"/>
    <w:rsid w:val="00DF72D2"/>
    <w:rsid w:val="00DF7AEA"/>
    <w:rsid w:val="00E05B73"/>
    <w:rsid w:val="00E06CA6"/>
    <w:rsid w:val="00E102FC"/>
    <w:rsid w:val="00E121FC"/>
    <w:rsid w:val="00E12761"/>
    <w:rsid w:val="00E1282A"/>
    <w:rsid w:val="00E129BF"/>
    <w:rsid w:val="00E145D6"/>
    <w:rsid w:val="00E14BCB"/>
    <w:rsid w:val="00E15679"/>
    <w:rsid w:val="00E178E3"/>
    <w:rsid w:val="00E209CD"/>
    <w:rsid w:val="00E218A0"/>
    <w:rsid w:val="00E24819"/>
    <w:rsid w:val="00E257D4"/>
    <w:rsid w:val="00E25AA9"/>
    <w:rsid w:val="00E25B3C"/>
    <w:rsid w:val="00E30D4D"/>
    <w:rsid w:val="00E320CD"/>
    <w:rsid w:val="00E3221B"/>
    <w:rsid w:val="00E322F3"/>
    <w:rsid w:val="00E33FA0"/>
    <w:rsid w:val="00E35389"/>
    <w:rsid w:val="00E35939"/>
    <w:rsid w:val="00E3772E"/>
    <w:rsid w:val="00E37D1B"/>
    <w:rsid w:val="00E40311"/>
    <w:rsid w:val="00E41098"/>
    <w:rsid w:val="00E43FE0"/>
    <w:rsid w:val="00E446BC"/>
    <w:rsid w:val="00E44CC4"/>
    <w:rsid w:val="00E45445"/>
    <w:rsid w:val="00E45CC2"/>
    <w:rsid w:val="00E47661"/>
    <w:rsid w:val="00E51080"/>
    <w:rsid w:val="00E53357"/>
    <w:rsid w:val="00E54670"/>
    <w:rsid w:val="00E60FFA"/>
    <w:rsid w:val="00E6215C"/>
    <w:rsid w:val="00E65352"/>
    <w:rsid w:val="00E65688"/>
    <w:rsid w:val="00E65988"/>
    <w:rsid w:val="00E6670D"/>
    <w:rsid w:val="00E676D2"/>
    <w:rsid w:val="00E67DD7"/>
    <w:rsid w:val="00E716BE"/>
    <w:rsid w:val="00E726DA"/>
    <w:rsid w:val="00E74A5A"/>
    <w:rsid w:val="00E74D98"/>
    <w:rsid w:val="00E75DBC"/>
    <w:rsid w:val="00E76899"/>
    <w:rsid w:val="00E76931"/>
    <w:rsid w:val="00E77AAF"/>
    <w:rsid w:val="00E82171"/>
    <w:rsid w:val="00E82E4E"/>
    <w:rsid w:val="00E870AC"/>
    <w:rsid w:val="00E90DE0"/>
    <w:rsid w:val="00E916F8"/>
    <w:rsid w:val="00E92A98"/>
    <w:rsid w:val="00E93019"/>
    <w:rsid w:val="00E9309A"/>
    <w:rsid w:val="00E94261"/>
    <w:rsid w:val="00E95837"/>
    <w:rsid w:val="00E9596D"/>
    <w:rsid w:val="00EA1E73"/>
    <w:rsid w:val="00EA2CC9"/>
    <w:rsid w:val="00EA3ACC"/>
    <w:rsid w:val="00EA5062"/>
    <w:rsid w:val="00EA5F40"/>
    <w:rsid w:val="00EA65DF"/>
    <w:rsid w:val="00EB45BF"/>
    <w:rsid w:val="00EB4C77"/>
    <w:rsid w:val="00EB5A87"/>
    <w:rsid w:val="00EB5BA1"/>
    <w:rsid w:val="00EB5DB7"/>
    <w:rsid w:val="00EB662A"/>
    <w:rsid w:val="00EB7458"/>
    <w:rsid w:val="00EC1570"/>
    <w:rsid w:val="00EC1D62"/>
    <w:rsid w:val="00EC22D9"/>
    <w:rsid w:val="00EC7E3C"/>
    <w:rsid w:val="00ED1903"/>
    <w:rsid w:val="00ED1C75"/>
    <w:rsid w:val="00ED33F8"/>
    <w:rsid w:val="00ED45FD"/>
    <w:rsid w:val="00ED5CBA"/>
    <w:rsid w:val="00ED5D3F"/>
    <w:rsid w:val="00ED6C7B"/>
    <w:rsid w:val="00EE055B"/>
    <w:rsid w:val="00EE0917"/>
    <w:rsid w:val="00EE0AC9"/>
    <w:rsid w:val="00EE1D22"/>
    <w:rsid w:val="00EE39EB"/>
    <w:rsid w:val="00EE6099"/>
    <w:rsid w:val="00EE6F49"/>
    <w:rsid w:val="00EF07DF"/>
    <w:rsid w:val="00EF1BFF"/>
    <w:rsid w:val="00EF1ED7"/>
    <w:rsid w:val="00EF571F"/>
    <w:rsid w:val="00EF6E7F"/>
    <w:rsid w:val="00EF7DA3"/>
    <w:rsid w:val="00F005DD"/>
    <w:rsid w:val="00F0153E"/>
    <w:rsid w:val="00F04F6D"/>
    <w:rsid w:val="00F04FAC"/>
    <w:rsid w:val="00F06C4E"/>
    <w:rsid w:val="00F103EE"/>
    <w:rsid w:val="00F11520"/>
    <w:rsid w:val="00F126FB"/>
    <w:rsid w:val="00F1394F"/>
    <w:rsid w:val="00F13AFE"/>
    <w:rsid w:val="00F13DF9"/>
    <w:rsid w:val="00F15017"/>
    <w:rsid w:val="00F165D9"/>
    <w:rsid w:val="00F1739E"/>
    <w:rsid w:val="00F2012E"/>
    <w:rsid w:val="00F2126E"/>
    <w:rsid w:val="00F21837"/>
    <w:rsid w:val="00F243A3"/>
    <w:rsid w:val="00F250F1"/>
    <w:rsid w:val="00F2584F"/>
    <w:rsid w:val="00F26DF2"/>
    <w:rsid w:val="00F27C50"/>
    <w:rsid w:val="00F334A8"/>
    <w:rsid w:val="00F369B8"/>
    <w:rsid w:val="00F40F47"/>
    <w:rsid w:val="00F438B4"/>
    <w:rsid w:val="00F43AB0"/>
    <w:rsid w:val="00F440D8"/>
    <w:rsid w:val="00F44F29"/>
    <w:rsid w:val="00F454A6"/>
    <w:rsid w:val="00F455F3"/>
    <w:rsid w:val="00F5014B"/>
    <w:rsid w:val="00F5056B"/>
    <w:rsid w:val="00F523DC"/>
    <w:rsid w:val="00F53AA1"/>
    <w:rsid w:val="00F53DCE"/>
    <w:rsid w:val="00F61E00"/>
    <w:rsid w:val="00F61E92"/>
    <w:rsid w:val="00F62E2B"/>
    <w:rsid w:val="00F62E99"/>
    <w:rsid w:val="00F64A84"/>
    <w:rsid w:val="00F65B94"/>
    <w:rsid w:val="00F67665"/>
    <w:rsid w:val="00F721DD"/>
    <w:rsid w:val="00F746B9"/>
    <w:rsid w:val="00F74F92"/>
    <w:rsid w:val="00F76527"/>
    <w:rsid w:val="00F77198"/>
    <w:rsid w:val="00F81651"/>
    <w:rsid w:val="00F81B73"/>
    <w:rsid w:val="00F81E09"/>
    <w:rsid w:val="00F86845"/>
    <w:rsid w:val="00F87DD7"/>
    <w:rsid w:val="00F87E7C"/>
    <w:rsid w:val="00F90AFA"/>
    <w:rsid w:val="00F94BF9"/>
    <w:rsid w:val="00F96913"/>
    <w:rsid w:val="00F96CFA"/>
    <w:rsid w:val="00F97EEA"/>
    <w:rsid w:val="00FA2B6C"/>
    <w:rsid w:val="00FA3464"/>
    <w:rsid w:val="00FA4737"/>
    <w:rsid w:val="00FA50E5"/>
    <w:rsid w:val="00FA53A7"/>
    <w:rsid w:val="00FA59FC"/>
    <w:rsid w:val="00FA6E71"/>
    <w:rsid w:val="00FB2335"/>
    <w:rsid w:val="00FB27BB"/>
    <w:rsid w:val="00FB3C2E"/>
    <w:rsid w:val="00FB453E"/>
    <w:rsid w:val="00FB52F6"/>
    <w:rsid w:val="00FC0305"/>
    <w:rsid w:val="00FC0D7A"/>
    <w:rsid w:val="00FC5541"/>
    <w:rsid w:val="00FC62AB"/>
    <w:rsid w:val="00FD066E"/>
    <w:rsid w:val="00FD070B"/>
    <w:rsid w:val="00FD20ED"/>
    <w:rsid w:val="00FD46FC"/>
    <w:rsid w:val="00FD7FF8"/>
    <w:rsid w:val="00FE0776"/>
    <w:rsid w:val="00FE0F62"/>
    <w:rsid w:val="00FE192C"/>
    <w:rsid w:val="00FE21BE"/>
    <w:rsid w:val="00FE3667"/>
    <w:rsid w:val="00FE4318"/>
    <w:rsid w:val="00FE48C2"/>
    <w:rsid w:val="00FF0AE6"/>
    <w:rsid w:val="00FF172C"/>
    <w:rsid w:val="00FF5012"/>
    <w:rsid w:val="00FF51F5"/>
    <w:rsid w:val="00FF6B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6A82A"/>
  <w15:chartTrackingRefBased/>
  <w15:docId w15:val="{4BAAEE6F-32B4-42F9-BBCD-5F4141DA8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6351"/>
    <w:pPr>
      <w:ind w:left="720"/>
      <w:contextualSpacing/>
    </w:pPr>
  </w:style>
  <w:style w:type="paragraph" w:styleId="NormalWeb">
    <w:name w:val="Normal (Web)"/>
    <w:basedOn w:val="Normal"/>
    <w:uiPriority w:val="99"/>
    <w:unhideWhenUsed/>
    <w:rsid w:val="00C91C4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FootnoteText">
    <w:name w:val="footnote text"/>
    <w:basedOn w:val="Normal"/>
    <w:link w:val="FootnoteTextChar"/>
    <w:uiPriority w:val="99"/>
    <w:semiHidden/>
    <w:unhideWhenUsed/>
    <w:rsid w:val="003035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035A5"/>
    <w:rPr>
      <w:sz w:val="20"/>
      <w:szCs w:val="20"/>
    </w:rPr>
  </w:style>
  <w:style w:type="character" w:styleId="FootnoteReference">
    <w:name w:val="footnote reference"/>
    <w:basedOn w:val="DefaultParagraphFont"/>
    <w:uiPriority w:val="99"/>
    <w:semiHidden/>
    <w:unhideWhenUsed/>
    <w:rsid w:val="003035A5"/>
    <w:rPr>
      <w:vertAlign w:val="superscript"/>
    </w:rPr>
  </w:style>
  <w:style w:type="character" w:styleId="Hyperlink">
    <w:name w:val="Hyperlink"/>
    <w:basedOn w:val="DefaultParagraphFont"/>
    <w:uiPriority w:val="99"/>
    <w:unhideWhenUsed/>
    <w:rsid w:val="00EE0917"/>
    <w:rPr>
      <w:color w:val="0563C1" w:themeColor="hyperlink"/>
      <w:u w:val="single"/>
    </w:rPr>
  </w:style>
  <w:style w:type="character" w:styleId="UnresolvedMention">
    <w:name w:val="Unresolved Mention"/>
    <w:basedOn w:val="DefaultParagraphFont"/>
    <w:uiPriority w:val="99"/>
    <w:semiHidden/>
    <w:unhideWhenUsed/>
    <w:rsid w:val="006F6FDA"/>
    <w:rPr>
      <w:color w:val="605E5C"/>
      <w:shd w:val="clear" w:color="auto" w:fill="E1DFDD"/>
    </w:rPr>
  </w:style>
  <w:style w:type="character" w:styleId="FollowedHyperlink">
    <w:name w:val="FollowedHyperlink"/>
    <w:basedOn w:val="DefaultParagraphFont"/>
    <w:uiPriority w:val="99"/>
    <w:semiHidden/>
    <w:unhideWhenUsed/>
    <w:rsid w:val="00ED45FD"/>
    <w:rPr>
      <w:color w:val="954F72" w:themeColor="followedHyperlink"/>
      <w:u w:val="single"/>
    </w:rPr>
  </w:style>
  <w:style w:type="paragraph" w:styleId="Header">
    <w:name w:val="header"/>
    <w:basedOn w:val="Normal"/>
    <w:link w:val="HeaderChar"/>
    <w:uiPriority w:val="99"/>
    <w:unhideWhenUsed/>
    <w:rsid w:val="00C81E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1E5E"/>
  </w:style>
  <w:style w:type="paragraph" w:styleId="Footer">
    <w:name w:val="footer"/>
    <w:basedOn w:val="Normal"/>
    <w:link w:val="FooterChar"/>
    <w:uiPriority w:val="99"/>
    <w:unhideWhenUsed/>
    <w:rsid w:val="00C81E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1E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153651">
      <w:bodyDiv w:val="1"/>
      <w:marLeft w:val="0"/>
      <w:marRight w:val="0"/>
      <w:marTop w:val="0"/>
      <w:marBottom w:val="0"/>
      <w:divBdr>
        <w:top w:val="none" w:sz="0" w:space="0" w:color="auto"/>
        <w:left w:val="none" w:sz="0" w:space="0" w:color="auto"/>
        <w:bottom w:val="none" w:sz="0" w:space="0" w:color="auto"/>
        <w:right w:val="none" w:sz="0" w:space="0" w:color="auto"/>
      </w:divBdr>
    </w:div>
    <w:div w:id="401413682">
      <w:bodyDiv w:val="1"/>
      <w:marLeft w:val="0"/>
      <w:marRight w:val="0"/>
      <w:marTop w:val="0"/>
      <w:marBottom w:val="0"/>
      <w:divBdr>
        <w:top w:val="none" w:sz="0" w:space="0" w:color="auto"/>
        <w:left w:val="none" w:sz="0" w:space="0" w:color="auto"/>
        <w:bottom w:val="none" w:sz="0" w:space="0" w:color="auto"/>
        <w:right w:val="none" w:sz="0" w:space="0" w:color="auto"/>
      </w:divBdr>
    </w:div>
    <w:div w:id="412822302">
      <w:bodyDiv w:val="1"/>
      <w:marLeft w:val="0"/>
      <w:marRight w:val="0"/>
      <w:marTop w:val="0"/>
      <w:marBottom w:val="0"/>
      <w:divBdr>
        <w:top w:val="none" w:sz="0" w:space="0" w:color="auto"/>
        <w:left w:val="none" w:sz="0" w:space="0" w:color="auto"/>
        <w:bottom w:val="none" w:sz="0" w:space="0" w:color="auto"/>
        <w:right w:val="none" w:sz="0" w:space="0" w:color="auto"/>
      </w:divBdr>
      <w:divsChild>
        <w:div w:id="343434595">
          <w:marLeft w:val="0"/>
          <w:marRight w:val="0"/>
          <w:marTop w:val="0"/>
          <w:marBottom w:val="0"/>
          <w:divBdr>
            <w:top w:val="none" w:sz="0" w:space="0" w:color="auto"/>
            <w:left w:val="none" w:sz="0" w:space="0" w:color="auto"/>
            <w:bottom w:val="none" w:sz="0" w:space="0" w:color="auto"/>
            <w:right w:val="none" w:sz="0" w:space="0" w:color="auto"/>
          </w:divBdr>
        </w:div>
        <w:div w:id="548345988">
          <w:marLeft w:val="0"/>
          <w:marRight w:val="0"/>
          <w:marTop w:val="0"/>
          <w:marBottom w:val="0"/>
          <w:divBdr>
            <w:top w:val="none" w:sz="0" w:space="0" w:color="auto"/>
            <w:left w:val="none" w:sz="0" w:space="0" w:color="auto"/>
            <w:bottom w:val="none" w:sz="0" w:space="0" w:color="auto"/>
            <w:right w:val="none" w:sz="0" w:space="0" w:color="auto"/>
          </w:divBdr>
        </w:div>
      </w:divsChild>
    </w:div>
    <w:div w:id="522331657">
      <w:bodyDiv w:val="1"/>
      <w:marLeft w:val="0"/>
      <w:marRight w:val="0"/>
      <w:marTop w:val="0"/>
      <w:marBottom w:val="0"/>
      <w:divBdr>
        <w:top w:val="none" w:sz="0" w:space="0" w:color="auto"/>
        <w:left w:val="none" w:sz="0" w:space="0" w:color="auto"/>
        <w:bottom w:val="none" w:sz="0" w:space="0" w:color="auto"/>
        <w:right w:val="none" w:sz="0" w:space="0" w:color="auto"/>
      </w:divBdr>
    </w:div>
    <w:div w:id="723259301">
      <w:bodyDiv w:val="1"/>
      <w:marLeft w:val="0"/>
      <w:marRight w:val="0"/>
      <w:marTop w:val="0"/>
      <w:marBottom w:val="0"/>
      <w:divBdr>
        <w:top w:val="none" w:sz="0" w:space="0" w:color="auto"/>
        <w:left w:val="none" w:sz="0" w:space="0" w:color="auto"/>
        <w:bottom w:val="none" w:sz="0" w:space="0" w:color="auto"/>
        <w:right w:val="none" w:sz="0" w:space="0" w:color="auto"/>
      </w:divBdr>
    </w:div>
    <w:div w:id="739181065">
      <w:bodyDiv w:val="1"/>
      <w:marLeft w:val="0"/>
      <w:marRight w:val="0"/>
      <w:marTop w:val="0"/>
      <w:marBottom w:val="0"/>
      <w:divBdr>
        <w:top w:val="none" w:sz="0" w:space="0" w:color="auto"/>
        <w:left w:val="none" w:sz="0" w:space="0" w:color="auto"/>
        <w:bottom w:val="none" w:sz="0" w:space="0" w:color="auto"/>
        <w:right w:val="none" w:sz="0" w:space="0" w:color="auto"/>
      </w:divBdr>
    </w:div>
    <w:div w:id="782500132">
      <w:bodyDiv w:val="1"/>
      <w:marLeft w:val="0"/>
      <w:marRight w:val="0"/>
      <w:marTop w:val="0"/>
      <w:marBottom w:val="0"/>
      <w:divBdr>
        <w:top w:val="none" w:sz="0" w:space="0" w:color="auto"/>
        <w:left w:val="none" w:sz="0" w:space="0" w:color="auto"/>
        <w:bottom w:val="none" w:sz="0" w:space="0" w:color="auto"/>
        <w:right w:val="none" w:sz="0" w:space="0" w:color="auto"/>
      </w:divBdr>
    </w:div>
    <w:div w:id="869495067">
      <w:bodyDiv w:val="1"/>
      <w:marLeft w:val="0"/>
      <w:marRight w:val="0"/>
      <w:marTop w:val="0"/>
      <w:marBottom w:val="0"/>
      <w:divBdr>
        <w:top w:val="none" w:sz="0" w:space="0" w:color="auto"/>
        <w:left w:val="none" w:sz="0" w:space="0" w:color="auto"/>
        <w:bottom w:val="none" w:sz="0" w:space="0" w:color="auto"/>
        <w:right w:val="none" w:sz="0" w:space="0" w:color="auto"/>
      </w:divBdr>
    </w:div>
    <w:div w:id="924652551">
      <w:bodyDiv w:val="1"/>
      <w:marLeft w:val="0"/>
      <w:marRight w:val="0"/>
      <w:marTop w:val="0"/>
      <w:marBottom w:val="0"/>
      <w:divBdr>
        <w:top w:val="none" w:sz="0" w:space="0" w:color="auto"/>
        <w:left w:val="none" w:sz="0" w:space="0" w:color="auto"/>
        <w:bottom w:val="none" w:sz="0" w:space="0" w:color="auto"/>
        <w:right w:val="none" w:sz="0" w:space="0" w:color="auto"/>
      </w:divBdr>
    </w:div>
    <w:div w:id="925769436">
      <w:bodyDiv w:val="1"/>
      <w:marLeft w:val="0"/>
      <w:marRight w:val="0"/>
      <w:marTop w:val="0"/>
      <w:marBottom w:val="0"/>
      <w:divBdr>
        <w:top w:val="none" w:sz="0" w:space="0" w:color="auto"/>
        <w:left w:val="none" w:sz="0" w:space="0" w:color="auto"/>
        <w:bottom w:val="none" w:sz="0" w:space="0" w:color="auto"/>
        <w:right w:val="none" w:sz="0" w:space="0" w:color="auto"/>
      </w:divBdr>
    </w:div>
    <w:div w:id="1101995807">
      <w:bodyDiv w:val="1"/>
      <w:marLeft w:val="0"/>
      <w:marRight w:val="0"/>
      <w:marTop w:val="0"/>
      <w:marBottom w:val="0"/>
      <w:divBdr>
        <w:top w:val="none" w:sz="0" w:space="0" w:color="auto"/>
        <w:left w:val="none" w:sz="0" w:space="0" w:color="auto"/>
        <w:bottom w:val="none" w:sz="0" w:space="0" w:color="auto"/>
        <w:right w:val="none" w:sz="0" w:space="0" w:color="auto"/>
      </w:divBdr>
    </w:div>
    <w:div w:id="1173763268">
      <w:bodyDiv w:val="1"/>
      <w:marLeft w:val="0"/>
      <w:marRight w:val="0"/>
      <w:marTop w:val="0"/>
      <w:marBottom w:val="0"/>
      <w:divBdr>
        <w:top w:val="none" w:sz="0" w:space="0" w:color="auto"/>
        <w:left w:val="none" w:sz="0" w:space="0" w:color="auto"/>
        <w:bottom w:val="none" w:sz="0" w:space="0" w:color="auto"/>
        <w:right w:val="none" w:sz="0" w:space="0" w:color="auto"/>
      </w:divBdr>
    </w:div>
    <w:div w:id="1374189209">
      <w:bodyDiv w:val="1"/>
      <w:marLeft w:val="0"/>
      <w:marRight w:val="0"/>
      <w:marTop w:val="0"/>
      <w:marBottom w:val="0"/>
      <w:divBdr>
        <w:top w:val="none" w:sz="0" w:space="0" w:color="auto"/>
        <w:left w:val="none" w:sz="0" w:space="0" w:color="auto"/>
        <w:bottom w:val="none" w:sz="0" w:space="0" w:color="auto"/>
        <w:right w:val="none" w:sz="0" w:space="0" w:color="auto"/>
      </w:divBdr>
      <w:divsChild>
        <w:div w:id="1381242587">
          <w:marLeft w:val="0"/>
          <w:marRight w:val="0"/>
          <w:marTop w:val="0"/>
          <w:marBottom w:val="450"/>
          <w:divBdr>
            <w:top w:val="none" w:sz="0" w:space="0" w:color="auto"/>
            <w:left w:val="none" w:sz="0" w:space="0" w:color="auto"/>
            <w:bottom w:val="none" w:sz="0" w:space="0" w:color="auto"/>
            <w:right w:val="none" w:sz="0" w:space="0" w:color="auto"/>
          </w:divBdr>
        </w:div>
        <w:div w:id="1690138951">
          <w:marLeft w:val="0"/>
          <w:marRight w:val="0"/>
          <w:marTop w:val="0"/>
          <w:marBottom w:val="450"/>
          <w:divBdr>
            <w:top w:val="none" w:sz="0" w:space="0" w:color="auto"/>
            <w:left w:val="none" w:sz="0" w:space="0" w:color="auto"/>
            <w:bottom w:val="none" w:sz="0" w:space="0" w:color="auto"/>
            <w:right w:val="none" w:sz="0" w:space="0" w:color="auto"/>
          </w:divBdr>
        </w:div>
      </w:divsChild>
    </w:div>
    <w:div w:id="1722627617">
      <w:bodyDiv w:val="1"/>
      <w:marLeft w:val="0"/>
      <w:marRight w:val="0"/>
      <w:marTop w:val="0"/>
      <w:marBottom w:val="0"/>
      <w:divBdr>
        <w:top w:val="none" w:sz="0" w:space="0" w:color="auto"/>
        <w:left w:val="none" w:sz="0" w:space="0" w:color="auto"/>
        <w:bottom w:val="none" w:sz="0" w:space="0" w:color="auto"/>
        <w:right w:val="none" w:sz="0" w:space="0" w:color="auto"/>
      </w:divBdr>
    </w:div>
    <w:div w:id="1746612244">
      <w:bodyDiv w:val="1"/>
      <w:marLeft w:val="0"/>
      <w:marRight w:val="0"/>
      <w:marTop w:val="0"/>
      <w:marBottom w:val="0"/>
      <w:divBdr>
        <w:top w:val="none" w:sz="0" w:space="0" w:color="auto"/>
        <w:left w:val="none" w:sz="0" w:space="0" w:color="auto"/>
        <w:bottom w:val="none" w:sz="0" w:space="0" w:color="auto"/>
        <w:right w:val="none" w:sz="0" w:space="0" w:color="auto"/>
      </w:divBdr>
    </w:div>
    <w:div w:id="1751273996">
      <w:bodyDiv w:val="1"/>
      <w:marLeft w:val="0"/>
      <w:marRight w:val="0"/>
      <w:marTop w:val="0"/>
      <w:marBottom w:val="0"/>
      <w:divBdr>
        <w:top w:val="none" w:sz="0" w:space="0" w:color="auto"/>
        <w:left w:val="none" w:sz="0" w:space="0" w:color="auto"/>
        <w:bottom w:val="none" w:sz="0" w:space="0" w:color="auto"/>
        <w:right w:val="none" w:sz="0" w:space="0" w:color="auto"/>
      </w:divBdr>
    </w:div>
    <w:div w:id="2133937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mailto:phanthuyhoai1403@gmail.com" TargetMode="External"/><Relationship Id="rId2" Type="http://schemas.openxmlformats.org/officeDocument/2006/relationships/hyperlink" Target="mailto:lichongmao@weiguanlaw.com" TargetMode="External"/><Relationship Id="rId1" Type="http://schemas.openxmlformats.org/officeDocument/2006/relationships/hyperlink" Target="mailto:luatsungocha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63809F-830F-4B5B-AD69-A181476DC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2955</TotalTime>
  <Pages>12</Pages>
  <Words>5464</Words>
  <Characters>31147</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Thuý Hoài Phan</dc:creator>
  <cp:keywords/>
  <dc:description/>
  <cp:lastModifiedBy>User</cp:lastModifiedBy>
  <cp:revision>1689</cp:revision>
  <dcterms:created xsi:type="dcterms:W3CDTF">2023-10-04T09:51:00Z</dcterms:created>
  <dcterms:modified xsi:type="dcterms:W3CDTF">2023-11-29T09:33:00Z</dcterms:modified>
</cp:coreProperties>
</file>