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35D9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ascii="Arial" w:hAnsi="Arial" w:cs="Arial"/>
          <w:i w:val="0"/>
          <w:iCs w:val="0"/>
          <w:caps w:val="0"/>
          <w:color w:val="000000"/>
          <w:spacing w:val="0"/>
          <w:sz w:val="18"/>
          <w:szCs w:val="18"/>
        </w:rPr>
      </w:pPr>
      <w:r>
        <w:rPr>
          <w:rStyle w:val="6"/>
          <w:rFonts w:ascii="Times New Roman" w:hAnsi="Times New Roman" w:cs="Times New Roman"/>
          <w:i w:val="0"/>
          <w:iCs w:val="0"/>
          <w:caps w:val="0"/>
          <w:color w:val="000000"/>
          <w:spacing w:val="0"/>
          <w:sz w:val="28"/>
          <w:szCs w:val="28"/>
          <w:bdr w:val="none" w:color="auto" w:sz="0" w:space="0"/>
          <w:shd w:val="clear" w:fill="FFFFFF"/>
        </w:rPr>
        <w:t>1. Hồ sơ khai thuế</w:t>
      </w:r>
    </w:p>
    <w:p w14:paraId="7B89ED5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Theo quy định tại điểm 8.2 Phụ lục I ban hành kèm theo Nghị định 126/2020/NĐ-CP, hồ sơ khai thuế gồm:</w:t>
      </w:r>
    </w:p>
    <w:p w14:paraId="4CD3864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Tờ khai thuế theo Mẫu số 01/CNKD (ban hành kèm Thông tư 40/2021/TT-BTC).</w:t>
      </w:r>
    </w:p>
    <w:p w14:paraId="5CE8903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Phụ lục Bảng kê hoạt động kinh doanh trong kỳ của hộ kinh doanh, cá nhân kinh doanh theo Mẫu số 01-2/BK-HĐKD. Trường hợp doanh thu đã được cơ quan chức năng xác nhận thì không phải nộp phụ lục này.</w:t>
      </w:r>
    </w:p>
    <w:p w14:paraId="7BEF712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2. Hình thức nộp hồ sơ khai thuế</w:t>
      </w:r>
    </w:p>
    <w:p w14:paraId="21562F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Hộ kinh doanh có thể nộp hồ sơ khai thuế theo một trong các cách sau:</w:t>
      </w:r>
    </w:p>
    <w:p w14:paraId="4B12A8A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Qua Cổng Thuế điện tử: </w: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begin"/>
      </w:r>
      <w:r>
        <w:rPr>
          <w:rFonts w:hint="default" w:ascii="Times New Roman" w:hAnsi="Times New Roman" w:cs="Times New Roman"/>
          <w:i w:val="0"/>
          <w:iCs w:val="0"/>
          <w:caps w:val="0"/>
          <w:color w:val="323232"/>
          <w:spacing w:val="0"/>
          <w:sz w:val="28"/>
          <w:szCs w:val="28"/>
          <w:u w:val="single"/>
          <w:bdr w:val="none" w:color="auto" w:sz="0" w:space="0"/>
          <w:shd w:val="clear" w:fill="FFFFFF"/>
        </w:rPr>
        <w:instrText xml:space="preserve"> HYPERLINK "https://thuedientu.gdt.gov.vn/" </w:instrTex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separate"/>
      </w:r>
      <w:r>
        <w:rPr>
          <w:rStyle w:val="4"/>
          <w:rFonts w:hint="default" w:ascii="Times New Roman" w:hAnsi="Times New Roman" w:cs="Times New Roman"/>
          <w:i w:val="0"/>
          <w:iCs w:val="0"/>
          <w:caps w:val="0"/>
          <w:color w:val="323232"/>
          <w:spacing w:val="0"/>
          <w:sz w:val="28"/>
          <w:szCs w:val="28"/>
          <w:u w:val="single"/>
          <w:bdr w:val="none" w:color="auto" w:sz="0" w:space="0"/>
          <w:shd w:val="clear" w:fill="FFFFFF"/>
        </w:rPr>
        <w:t>https://thuedientu.gdt.gov.vn</w: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end"/>
      </w:r>
      <w:r>
        <w:rPr>
          <w:rFonts w:hint="default" w:ascii="Times New Roman" w:hAnsi="Times New Roman" w:cs="Times New Roman"/>
          <w:i w:val="0"/>
          <w:iCs w:val="0"/>
          <w:caps w:val="0"/>
          <w:color w:val="000000"/>
          <w:spacing w:val="0"/>
          <w:sz w:val="28"/>
          <w:szCs w:val="28"/>
          <w:bdr w:val="none" w:color="auto" w:sz="0" w:space="0"/>
          <w:shd w:val="clear" w:fill="FFFFFF"/>
        </w:rPr>
        <w:t> (phân hệ “CÁ NHÂN”).</w:t>
      </w:r>
    </w:p>
    <w:p w14:paraId="03B7548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Qua Cổng Dịch vụ công quốc gia: </w: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begin"/>
      </w:r>
      <w:r>
        <w:rPr>
          <w:rFonts w:hint="default" w:ascii="Times New Roman" w:hAnsi="Times New Roman" w:cs="Times New Roman"/>
          <w:i w:val="0"/>
          <w:iCs w:val="0"/>
          <w:caps w:val="0"/>
          <w:color w:val="323232"/>
          <w:spacing w:val="0"/>
          <w:sz w:val="28"/>
          <w:szCs w:val="28"/>
          <w:u w:val="single"/>
          <w:bdr w:val="none" w:color="auto" w:sz="0" w:space="0"/>
          <w:shd w:val="clear" w:fill="FFFFFF"/>
        </w:rPr>
        <w:instrText xml:space="preserve"> HYPERLINK "https://dichvucong.gov.vn/" </w:instrTex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separate"/>
      </w:r>
      <w:r>
        <w:rPr>
          <w:rStyle w:val="4"/>
          <w:rFonts w:hint="default" w:ascii="Times New Roman" w:hAnsi="Times New Roman" w:cs="Times New Roman"/>
          <w:i w:val="0"/>
          <w:iCs w:val="0"/>
          <w:caps w:val="0"/>
          <w:color w:val="323232"/>
          <w:spacing w:val="0"/>
          <w:sz w:val="28"/>
          <w:szCs w:val="28"/>
          <w:u w:val="single"/>
          <w:bdr w:val="none" w:color="auto" w:sz="0" w:space="0"/>
          <w:shd w:val="clear" w:fill="FFFFFF"/>
        </w:rPr>
        <w:t>https://dichvucong.gov.vn</w:t>
      </w:r>
      <w:r>
        <w:rPr>
          <w:rFonts w:hint="default" w:ascii="Times New Roman" w:hAnsi="Times New Roman" w:cs="Times New Roman"/>
          <w:i w:val="0"/>
          <w:iCs w:val="0"/>
          <w:caps w:val="0"/>
          <w:color w:val="323232"/>
          <w:spacing w:val="0"/>
          <w:sz w:val="28"/>
          <w:szCs w:val="28"/>
          <w:u w:val="single"/>
          <w:bdr w:val="none" w:color="auto" w:sz="0" w:space="0"/>
          <w:shd w:val="clear" w:fill="FFFFFF"/>
        </w:rPr>
        <w:fldChar w:fldCharType="end"/>
      </w:r>
    </w:p>
    <w:p w14:paraId="63FEA5F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Trường hợp không thể nộp điện tử: nộp trực tiếp tại bộ phận một cửa của cơ quan thuế hoặc gửi qua đường bưu chính.</w:t>
      </w:r>
    </w:p>
    <w:p w14:paraId="77A56BF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3. Nơi nộp hồ sơ khai thuế</w:t>
      </w:r>
    </w:p>
    <w:p w14:paraId="04FD135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Theo khoản 1 Điều 45 Luật Quản lý thuế, hồ sơ khai thuế được nộp tại Đội Thuế (nay là Tổ Thuế) quản lý trực tiếp nơi hộ kinh doanh, cá nhân kinh doanh hoạt động sản xuất, kinh doanh.</w:t>
      </w:r>
    </w:p>
    <w:p w14:paraId="1607D46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4. Thời hạn nộp hồ sơ khai thuế</w:t>
      </w:r>
    </w:p>
    <w:p w14:paraId="112165B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Căn cứ khoản 1 Điều 44 Luật Quản lý thuế quy định về thời hạn nộp hồ sơ khai thuế:</w:t>
      </w:r>
    </w:p>
    <w:p w14:paraId="35B13A3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Trường hợp kê khai theo tháng: chậm nhất ngày 20 của tháng tiếp theo tháng phát sinh nghĩa vụ thuế.</w:t>
      </w:r>
    </w:p>
    <w:p w14:paraId="5D7B738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Trường hợp kê khai theo quý: chậm nhất ngày cuối cùng của tháng đầu quý tiếp theo liền kề quý phát sinh nghĩa vụ thuế.</w:t>
      </w:r>
    </w:p>
    <w:p w14:paraId="4D1F0C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5. Thời hạn nộp thuế</w:t>
      </w:r>
    </w:p>
    <w:p w14:paraId="3CE0BEE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Theo khoản 1 Điều 55 Luật Quản lý thuế, thời hạn nộp thuế được quy định:</w:t>
      </w:r>
    </w:p>
    <w:p w14:paraId="4CAA3F4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Chậm nhất là ngày cuối cùng của thời hạn nộp hồ sơ khai thuế.</w:t>
      </w:r>
    </w:p>
    <w:p w14:paraId="09BA5DE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Trường hợp khai bổ sung hồ sơ khai thuế, thời hạn nộp thuế là thời hạn nộp hồ sơ khai thuế của kỳ tính thuế có sai, sót..</w:t>
      </w:r>
    </w:p>
    <w:p w14:paraId="63C3A72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6. Hình thức nộp thuế</w:t>
      </w:r>
    </w:p>
    <w:p w14:paraId="4504EFE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Hộ kinh doanh có thể lựa chọn một trong các hình thức sau:</w:t>
      </w:r>
    </w:p>
    <w:p w14:paraId="410C83F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Qua ứng dụng eTax Mobile</w:t>
      </w:r>
    </w:p>
    <w:p w14:paraId="236EE8E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Qua Cổng Thuế điện tử: </w:t>
      </w:r>
      <w:r>
        <w:rPr>
          <w:rFonts w:hint="default" w:ascii="Times New Roman" w:hAnsi="Times New Roman" w:cs="Times New Roman"/>
          <w:i w:val="0"/>
          <w:iCs w:val="0"/>
          <w:caps w:val="0"/>
          <w:color w:val="323232"/>
          <w:spacing w:val="0"/>
          <w:sz w:val="30"/>
          <w:szCs w:val="30"/>
          <w:u w:val="none"/>
          <w:bdr w:val="none" w:color="auto" w:sz="0" w:space="0"/>
          <w:shd w:val="clear" w:fill="FFFFFF"/>
        </w:rPr>
        <w:fldChar w:fldCharType="begin"/>
      </w:r>
      <w:r>
        <w:rPr>
          <w:rFonts w:hint="default" w:ascii="Times New Roman" w:hAnsi="Times New Roman" w:cs="Times New Roman"/>
          <w:i w:val="0"/>
          <w:iCs w:val="0"/>
          <w:caps w:val="0"/>
          <w:color w:val="323232"/>
          <w:spacing w:val="0"/>
          <w:sz w:val="30"/>
          <w:szCs w:val="30"/>
          <w:u w:val="none"/>
          <w:bdr w:val="none" w:color="auto" w:sz="0" w:space="0"/>
          <w:shd w:val="clear" w:fill="FFFFFF"/>
        </w:rPr>
        <w:instrText xml:space="preserve"> HYPERLINK "https://thuedientu.gdt.gov.vn/" </w:instrText>
      </w:r>
      <w:r>
        <w:rPr>
          <w:rFonts w:hint="default" w:ascii="Times New Roman" w:hAnsi="Times New Roman" w:cs="Times New Roman"/>
          <w:i w:val="0"/>
          <w:iCs w:val="0"/>
          <w:caps w:val="0"/>
          <w:color w:val="323232"/>
          <w:spacing w:val="0"/>
          <w:sz w:val="30"/>
          <w:szCs w:val="30"/>
          <w:u w:val="none"/>
          <w:bdr w:val="none" w:color="auto" w:sz="0" w:space="0"/>
          <w:shd w:val="clear" w:fill="FFFFFF"/>
        </w:rPr>
        <w:fldChar w:fldCharType="separate"/>
      </w:r>
      <w:r>
        <w:rPr>
          <w:rStyle w:val="4"/>
          <w:rFonts w:hint="default" w:ascii="Times New Roman" w:hAnsi="Times New Roman" w:cs="Times New Roman"/>
          <w:i w:val="0"/>
          <w:iCs w:val="0"/>
          <w:caps w:val="0"/>
          <w:color w:val="323232"/>
          <w:spacing w:val="0"/>
          <w:sz w:val="30"/>
          <w:szCs w:val="30"/>
          <w:u w:val="none"/>
          <w:bdr w:val="none" w:color="auto" w:sz="0" w:space="0"/>
          <w:shd w:val="clear" w:fill="FFFFFF"/>
        </w:rPr>
        <w:t>https://thuedientu.gdt.gov.vn</w:t>
      </w:r>
      <w:r>
        <w:rPr>
          <w:rFonts w:hint="default" w:ascii="Times New Roman" w:hAnsi="Times New Roman" w:cs="Times New Roman"/>
          <w:i w:val="0"/>
          <w:iCs w:val="0"/>
          <w:caps w:val="0"/>
          <w:color w:val="323232"/>
          <w:spacing w:val="0"/>
          <w:sz w:val="30"/>
          <w:szCs w:val="30"/>
          <w:u w:val="none"/>
          <w:bdr w:val="none" w:color="auto" w:sz="0" w:space="0"/>
          <w:shd w:val="clear" w:fill="FFFFFF"/>
        </w:rPr>
        <w:fldChar w:fldCharType="end"/>
      </w:r>
      <w:r>
        <w:rPr>
          <w:rFonts w:hint="default" w:ascii="Times New Roman" w:hAnsi="Times New Roman" w:cs="Times New Roman"/>
          <w:i w:val="0"/>
          <w:iCs w:val="0"/>
          <w:caps w:val="0"/>
          <w:color w:val="000000"/>
          <w:spacing w:val="0"/>
          <w:sz w:val="18"/>
          <w:szCs w:val="18"/>
          <w:bdr w:val="none" w:color="auto" w:sz="0" w:space="0"/>
          <w:shd w:val="clear" w:fill="FFFFFF"/>
        </w:rPr>
        <w:t> </w:t>
      </w:r>
      <w:r>
        <w:rPr>
          <w:rFonts w:hint="default" w:ascii="Times New Roman" w:hAnsi="Times New Roman" w:cs="Times New Roman"/>
          <w:i w:val="0"/>
          <w:iCs w:val="0"/>
          <w:caps w:val="0"/>
          <w:color w:val="000000"/>
          <w:spacing w:val="0"/>
          <w:sz w:val="28"/>
          <w:szCs w:val="28"/>
          <w:bdr w:val="none" w:color="auto" w:sz="0" w:space="0"/>
          <w:shd w:val="clear" w:fill="FFFFFF"/>
        </w:rPr>
        <w:t>(phân hệ “CÁ NHÂN”)</w:t>
      </w:r>
    </w:p>
    <w:p w14:paraId="5E1F301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Qua Cổng Dịch vụ công quốc gia: </w:t>
      </w:r>
      <w:r>
        <w:rPr>
          <w:rFonts w:hint="default" w:ascii="Times New Roman" w:hAnsi="Times New Roman" w:cs="Times New Roman"/>
          <w:i w:val="0"/>
          <w:iCs w:val="0"/>
          <w:caps w:val="0"/>
          <w:color w:val="323232"/>
          <w:spacing w:val="0"/>
          <w:sz w:val="28"/>
          <w:szCs w:val="28"/>
          <w:u w:val="none"/>
          <w:bdr w:val="none" w:color="auto" w:sz="0" w:space="0"/>
          <w:shd w:val="clear" w:fill="FFFFFF"/>
        </w:rPr>
        <w:fldChar w:fldCharType="begin"/>
      </w:r>
      <w:r>
        <w:rPr>
          <w:rFonts w:hint="default" w:ascii="Times New Roman" w:hAnsi="Times New Roman" w:cs="Times New Roman"/>
          <w:i w:val="0"/>
          <w:iCs w:val="0"/>
          <w:caps w:val="0"/>
          <w:color w:val="323232"/>
          <w:spacing w:val="0"/>
          <w:sz w:val="28"/>
          <w:szCs w:val="28"/>
          <w:u w:val="none"/>
          <w:bdr w:val="none" w:color="auto" w:sz="0" w:space="0"/>
          <w:shd w:val="clear" w:fill="FFFFFF"/>
        </w:rPr>
        <w:instrText xml:space="preserve"> HYPERLINK "https://dichvucong.gov.vn/" </w:instrText>
      </w:r>
      <w:r>
        <w:rPr>
          <w:rFonts w:hint="default" w:ascii="Times New Roman" w:hAnsi="Times New Roman" w:cs="Times New Roman"/>
          <w:i w:val="0"/>
          <w:iCs w:val="0"/>
          <w:caps w:val="0"/>
          <w:color w:val="323232"/>
          <w:spacing w:val="0"/>
          <w:sz w:val="28"/>
          <w:szCs w:val="28"/>
          <w:u w:val="none"/>
          <w:bdr w:val="none" w:color="auto" w:sz="0" w:space="0"/>
          <w:shd w:val="clear" w:fill="FFFFFF"/>
        </w:rPr>
        <w:fldChar w:fldCharType="separate"/>
      </w:r>
      <w:r>
        <w:rPr>
          <w:rStyle w:val="4"/>
          <w:rFonts w:hint="default" w:ascii="Times New Roman" w:hAnsi="Times New Roman" w:cs="Times New Roman"/>
          <w:i w:val="0"/>
          <w:iCs w:val="0"/>
          <w:caps w:val="0"/>
          <w:color w:val="323232"/>
          <w:spacing w:val="0"/>
          <w:sz w:val="28"/>
          <w:szCs w:val="28"/>
          <w:u w:val="none"/>
          <w:bdr w:val="none" w:color="auto" w:sz="0" w:space="0"/>
          <w:shd w:val="clear" w:fill="FFFFFF"/>
        </w:rPr>
        <w:t>https://dichvucong.gov.vn</w:t>
      </w:r>
      <w:r>
        <w:rPr>
          <w:rFonts w:hint="default" w:ascii="Times New Roman" w:hAnsi="Times New Roman" w:cs="Times New Roman"/>
          <w:i w:val="0"/>
          <w:iCs w:val="0"/>
          <w:caps w:val="0"/>
          <w:color w:val="323232"/>
          <w:spacing w:val="0"/>
          <w:sz w:val="28"/>
          <w:szCs w:val="28"/>
          <w:u w:val="none"/>
          <w:bdr w:val="none" w:color="auto" w:sz="0" w:space="0"/>
          <w:shd w:val="clear" w:fill="FFFFFF"/>
        </w:rPr>
        <w:fldChar w:fldCharType="end"/>
      </w:r>
    </w:p>
    <w:p w14:paraId="2E65007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Style w:val="6"/>
          <w:rFonts w:hint="default" w:ascii="Times New Roman" w:hAnsi="Times New Roman" w:cs="Times New Roman"/>
          <w:i w:val="0"/>
          <w:iCs w:val="0"/>
          <w:caps w:val="0"/>
          <w:color w:val="000000"/>
          <w:spacing w:val="0"/>
          <w:sz w:val="28"/>
          <w:szCs w:val="28"/>
          <w:bdr w:val="none" w:color="auto" w:sz="0" w:space="0"/>
          <w:shd w:val="clear" w:fill="FFFFFF"/>
        </w:rPr>
        <w:t>7. Nghĩa vụ khai thuế khi tạm ngừng hoạt động</w:t>
      </w:r>
    </w:p>
    <w:p w14:paraId="345F8F1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line="210" w:lineRule="atLeast"/>
        <w:ind w:left="0" w:right="0" w:firstLine="70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Thông báo cho cơ quan thuế theo quy định tại Điều 91 Nghị định số 01/2021/NĐ-CP, Điều 4 Nghị định số 126/2020/NĐ-CP và Điều 12 Thông tư số 86/2024/TT-BTC.</w:t>
      </w:r>
    </w:p>
    <w:p w14:paraId="6C26FE2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ind w:left="0" w:right="0" w:firstLine="0"/>
        <w:jc w:val="both"/>
        <w:rPr>
          <w:rFonts w:hint="default" w:ascii="Arial" w:hAnsi="Arial" w:cs="Arial"/>
          <w:i w:val="0"/>
          <w:iCs w:val="0"/>
          <w:caps w:val="0"/>
          <w:color w:val="000000"/>
          <w:spacing w:val="0"/>
          <w:sz w:val="18"/>
          <w:szCs w:val="18"/>
        </w:rPr>
      </w:pPr>
      <w:r>
        <w:rPr>
          <w:rFonts w:hint="default" w:ascii="Times New Roman" w:hAnsi="Times New Roman" w:cs="Times New Roman"/>
          <w:i w:val="0"/>
          <w:iCs w:val="0"/>
          <w:caps w:val="0"/>
          <w:color w:val="000000"/>
          <w:spacing w:val="0"/>
          <w:sz w:val="28"/>
          <w:szCs w:val="28"/>
          <w:bdr w:val="none" w:color="auto" w:sz="0" w:space="0"/>
          <w:shd w:val="clear" w:fill="FFFFFF"/>
        </w:rPr>
        <w:t>          -  Không phải nộp hồ sơ khai thuế trong thời gian tạm ngừng hoạt động, kinh doanh, trừ trường hợp hộ kinh doanh, cá nhân kinh doanh tạm ngừng không trọn tháng (đối với kê khai theo tháng) hoặc không trọn quý (đối với kê khai theo quý).</w:t>
      </w:r>
    </w:p>
    <w:p w14:paraId="7B0231A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150" w:beforeAutospacing="0" w:after="0" w:afterAutospacing="0"/>
        <w:ind w:left="0" w:right="0" w:firstLine="0"/>
        <w:jc w:val="center"/>
        <w:rPr>
          <w:rFonts w:hint="default" w:ascii="Arial" w:hAnsi="Arial" w:cs="Arial"/>
          <w:i w:val="0"/>
          <w:iCs w:val="0"/>
          <w:caps w:val="0"/>
          <w:color w:val="000000"/>
          <w:spacing w:val="0"/>
          <w:sz w:val="18"/>
          <w:szCs w:val="18"/>
        </w:rPr>
      </w:pPr>
    </w:p>
    <w:p w14:paraId="0C001A1E">
      <w:r>
        <w:rPr>
          <w:rFonts w:ascii="SimSun" w:hAnsi="SimSun" w:eastAsia="SimSun" w:cs="SimSun"/>
          <w:sz w:val="24"/>
          <w:szCs w:val="24"/>
        </w:rPr>
        <w:drawing>
          <wp:inline distT="0" distB="0" distL="114300" distR="114300">
            <wp:extent cx="5265420" cy="7470775"/>
            <wp:effectExtent l="0" t="0" r="11430" b="1587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4"/>
                    <a:stretch>
                      <a:fillRect/>
                    </a:stretch>
                  </pic:blipFill>
                  <pic:spPr>
                    <a:xfrm>
                      <a:off x="0" y="0"/>
                      <a:ext cx="5265420" cy="7470775"/>
                    </a:xfrm>
                    <a:prstGeom prst="rect">
                      <a:avLst/>
                    </a:prstGeom>
                    <a:noFill/>
                    <a:ln w="9525">
                      <a:noFill/>
                    </a:ln>
                  </pic:spPr>
                </pic:pic>
              </a:graphicData>
            </a:graphic>
          </wp:inline>
        </w:drawing>
      </w: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A874A7"/>
    <w:rsid w:val="68A87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 w:type="character" w:styleId="6">
    <w:name w:val="Strong"/>
    <w:basedOn w:val="2"/>
    <w:qFormat/>
    <w:uiPriority w:val="0"/>
    <w:rPr>
      <w:b/>
      <w:bC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2025-10-21T03:57:00Z</dcterms:created>
  <dc:creator>Ngân Lê Thị Kim</dc:creator>
  <cp:lastModifiedBy>Ngân Lê Thị Kim</cp:lastModifiedBy>
  <dcterms:modified xsi:type="dcterms:W3CDTF">2025-10-21T03:58:27Z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33312B6D4D664A108D809F0AA162A70B_11</vt:lpwstr>
  </property>
</Properties>
</file>