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Rút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kinh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nghiệm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vụ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phạm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tội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Giết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b/>
          <w:bCs/>
          <w:color w:val="333333"/>
          <w:sz w:val="28"/>
          <w:szCs w:val="28"/>
          <w:bdr w:val="none" w:sz="0" w:space="0" w:color="auto" w:frame="1"/>
        </w:rPr>
        <w:t>"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vụ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Hoàng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1991),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1995),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Út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1996),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Nam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1996),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1996)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Lò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1994)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trú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Phong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huyện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Xuân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tỉnh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Hóa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đến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thuê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chồng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Nguyễn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Nghĩa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20h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18/5/2012,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cơm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xong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rủ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Nam,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Nguyễn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Cầu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300m ở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thôn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bia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chỉ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còn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ngoài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Do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Nghĩa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bảo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tìm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hai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trước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Cầu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nhìn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thấy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gọi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vẫn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thẳng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bê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thôn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Hiển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tìm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thấy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quay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đến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Cầu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ngoài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gọi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bia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“Tao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tý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phép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Nghĩa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chủ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”.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luôn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”.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“ừ,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tiếp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tục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bước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Thấy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vậy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đuổi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kịp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à,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bia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”.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đâu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tý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tiếp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tục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bước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đuổi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lao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đấm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trúng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đấm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tiếp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nữa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trúng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ngực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đấm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trúng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ngực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Lúc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Út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Hằng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đang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gần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chạy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gạt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Út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bỏ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xem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vẫn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yên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chỗ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Còn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túm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kéo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nói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Hai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đừng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nữa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nghe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Bình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tiếp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tục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túm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giữ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đấm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sườn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giữ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đấm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túm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cổ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vừa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túm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giữ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vừa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xô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đẩy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vấp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bê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túm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kéo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theo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đè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sấp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lập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co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chân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xoay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nghiêng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hất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ngửa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đập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mạnh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phần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đầu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bê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chồm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hai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chân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kẹp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xuống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mặt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còn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phải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ấn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phần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ngực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tay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đấm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thấy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Nam,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Út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chạy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kéo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khỏi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dậy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bỏ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trước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còn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cõng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cứu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chữa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đến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trung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tâm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tế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huyện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cấp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cứu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Do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nặng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đường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cấp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cứu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luận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giám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pháp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số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53/PC54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23/5/2012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luận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: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 w:rsidRPr="0043205E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chế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thành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: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 w:rsidRPr="0043205E">
        <w:rPr>
          <w:color w:val="333333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xây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sát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da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kích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thước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1x1cm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xô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xát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giữa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nhân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tượng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gây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ra.</w:t>
      </w:r>
      <w:proofErr w:type="spellEnd"/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 w:rsidRPr="0043205E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+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Dấu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vùng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đỉnh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chẩm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tổ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da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dưới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da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sưng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bầm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tụ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máu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hộp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sọ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vật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gây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ra.</w:t>
      </w:r>
      <w:proofErr w:type="spellEnd"/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r w:rsidRPr="0043205E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Nguyên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nhân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hộp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sọ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chảy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máu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ngoài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phạm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tội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thẩm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áp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93,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b,đ,p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46,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46,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47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Bộ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luật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sự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phạt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05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tù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tội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".</w:t>
      </w:r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xét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sơ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thẩm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hợp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pháp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giảm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phạt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phúc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thẩm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áp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104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Bộ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luật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sự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phạt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tù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tội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Cố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gây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".</w:t>
      </w:r>
    </w:p>
    <w:p w:rsidR="00846F27" w:rsidRDefault="00846F27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46F27" w:rsidRPr="00846F27" w:rsidRDefault="00846F27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color w:val="333333"/>
          <w:sz w:val="28"/>
          <w:szCs w:val="28"/>
        </w:rPr>
      </w:pPr>
      <w:proofErr w:type="spellStart"/>
      <w:r w:rsidRPr="00846F27">
        <w:rPr>
          <w:b/>
          <w:color w:val="333333"/>
          <w:sz w:val="28"/>
          <w:szCs w:val="28"/>
          <w:bdr w:val="none" w:sz="0" w:space="0" w:color="auto" w:frame="1"/>
        </w:rPr>
        <w:t>Vấn</w:t>
      </w:r>
      <w:proofErr w:type="spellEnd"/>
      <w:r w:rsidRPr="00846F27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F27">
        <w:rPr>
          <w:b/>
          <w:color w:val="333333"/>
          <w:sz w:val="28"/>
          <w:szCs w:val="28"/>
          <w:bdr w:val="none" w:sz="0" w:space="0" w:color="auto" w:frame="1"/>
        </w:rPr>
        <w:t>đề</w:t>
      </w:r>
      <w:proofErr w:type="spellEnd"/>
      <w:r w:rsidRPr="00846F27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F27">
        <w:rPr>
          <w:b/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846F27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F27">
        <w:rPr>
          <w:b/>
          <w:color w:val="333333"/>
          <w:sz w:val="28"/>
          <w:szCs w:val="28"/>
          <w:bdr w:val="none" w:sz="0" w:space="0" w:color="auto" w:frame="1"/>
        </w:rPr>
        <w:t>rút</w:t>
      </w:r>
      <w:proofErr w:type="spellEnd"/>
      <w:r w:rsidRPr="00846F27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F27">
        <w:rPr>
          <w:b/>
          <w:color w:val="333333"/>
          <w:sz w:val="28"/>
          <w:szCs w:val="28"/>
          <w:bdr w:val="none" w:sz="0" w:space="0" w:color="auto" w:frame="1"/>
        </w:rPr>
        <w:t>kinh</w:t>
      </w:r>
      <w:proofErr w:type="spellEnd"/>
      <w:r w:rsidRPr="00846F27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6F27">
        <w:rPr>
          <w:b/>
          <w:color w:val="333333"/>
          <w:sz w:val="28"/>
          <w:szCs w:val="28"/>
          <w:bdr w:val="none" w:sz="0" w:space="0" w:color="auto" w:frame="1"/>
        </w:rPr>
        <w:t>nghiệm</w:t>
      </w:r>
      <w:proofErr w:type="spellEnd"/>
    </w:p>
    <w:p w:rsidR="0043205E" w:rsidRPr="0043205E" w:rsidRDefault="0043205E" w:rsidP="00C43DFB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Vấn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cần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rút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kinh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nghiệm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vụ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này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giữa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bạn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với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mâu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thuẫn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gây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sự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trước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trả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Khi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nằm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đè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hất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ra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chống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sự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tấn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Sau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ngồi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đánh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thì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thấy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mọi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ngăn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bỏ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vậy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3205E">
        <w:rPr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khách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quan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cũng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như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chủ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quan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mong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muốn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hại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ngoài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thức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chủ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quan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nên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hành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phạm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tội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Giết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mà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chỉ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thể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truy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tố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xét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xử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bị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cáo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tội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Cố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gây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thương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theo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khoản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104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Bộ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luật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05E">
        <w:rPr>
          <w:color w:val="333333"/>
          <w:sz w:val="28"/>
          <w:szCs w:val="28"/>
          <w:bdr w:val="none" w:sz="0" w:space="0" w:color="auto" w:frame="1"/>
        </w:rPr>
        <w:t>sự</w:t>
      </w:r>
      <w:proofErr w:type="spellEnd"/>
      <w:r w:rsidRPr="0043205E">
        <w:rPr>
          <w:color w:val="333333"/>
          <w:sz w:val="28"/>
          <w:szCs w:val="28"/>
          <w:bdr w:val="none" w:sz="0" w:space="0" w:color="auto" w:frame="1"/>
        </w:rPr>
        <w:t>.</w:t>
      </w:r>
    </w:p>
    <w:p w:rsidR="0002500F" w:rsidRDefault="0002500F" w:rsidP="00C43DFB">
      <w:pPr>
        <w:spacing w:before="120"/>
        <w:rPr>
          <w:rFonts w:ascii="Times New Roman" w:hAnsi="Times New Roman"/>
          <w:sz w:val="28"/>
          <w:szCs w:val="28"/>
        </w:rPr>
      </w:pPr>
    </w:p>
    <w:p w:rsidR="00B170D1" w:rsidRPr="0043205E" w:rsidRDefault="00B170D1" w:rsidP="00C43DFB">
      <w:pPr>
        <w:spacing w:before="120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http://vksbacninh.gov.vn/kiem-sat-vien-viet/chuyen-de-nghiep-vu/nhung-kinh-nghiem-rut-ra-qua-cong-tac-thuc-hanh-quyen-cong-to-va-ksxx-phuc-tham-mot-so-vu-an-diem-cua-vien-phuc-tham-1-7134.html</w:t>
        </w:r>
      </w:hyperlink>
      <w:bookmarkStart w:id="0" w:name="_GoBack"/>
      <w:bookmarkEnd w:id="0"/>
    </w:p>
    <w:sectPr w:rsidR="00B170D1" w:rsidRPr="0043205E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F5"/>
    <w:rsid w:val="0002500F"/>
    <w:rsid w:val="003858F5"/>
    <w:rsid w:val="0043205E"/>
    <w:rsid w:val="00846F27"/>
    <w:rsid w:val="009A1F95"/>
    <w:rsid w:val="009B13FF"/>
    <w:rsid w:val="00B170D1"/>
    <w:rsid w:val="00C43DFB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20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20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bacninh.gov.vn/kiem-sat-vien-viet/chuyen-de-nghiep-vu/nhung-kinh-nghiem-rut-ra-qua-cong-tac-thuc-hanh-quyen-cong-to-va-ksxx-phuc-tham-mot-so-vu-an-diem-cua-vien-phuc-tham-1-71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2020-03-20T02:01:00Z</dcterms:created>
  <dcterms:modified xsi:type="dcterms:W3CDTF">2020-03-20T02:03:00Z</dcterms:modified>
</cp:coreProperties>
</file>