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xét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phúc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phúc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hủy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VKSND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cao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Nẵng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ban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báo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VKS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phương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rút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kinh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nghiệm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VKSND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cao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trích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đăng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đọc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khảo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Xin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giữa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xin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Huỳnh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Đ,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cả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2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quốc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tịch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Việt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Nam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nhưng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cư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sống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Hoa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ngày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13/01/2016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TAND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tỉnh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A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xin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Ngoài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còn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đề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đề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cập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do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VKSND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tỉnh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đề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sửa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vì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vi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phạm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nội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thủ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hủy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phần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thay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đổi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pháp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thừa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kế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Huỳnh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C: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26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đường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Trần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Quang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T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tài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chung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Hữu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B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Huỳnh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Giấy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năm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2008.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Năm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1986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B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di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chúc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chung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gồm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Hữu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B,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Thanh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X,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Thanh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H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Kim C.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văn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Tờ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khai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di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thừa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kế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Tờ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thỏa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thuận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nội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dung: 4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con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chung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giao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khối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tài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Huỳnh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thừa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kế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toàn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bộ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Ngày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09/9/2010, UBND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phường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chữ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họ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Văn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phòng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thực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sở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Văn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phòng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đăng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đai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S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chỉnh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nội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thay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đổi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sở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pháp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ghi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Huỳnh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thừa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kế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tài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gắn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liền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đứng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X,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H)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khởi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kiện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Văn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phòng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đăng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đai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rằng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giả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mạo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chữ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mình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nội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chỉnh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Giấy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giám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chữ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chữ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viết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giấy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tờ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do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viết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ra.</w:t>
      </w:r>
      <w:proofErr w:type="spellEnd"/>
    </w:p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ngày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18/9/2015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TAND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T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khởi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kiện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hủy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phần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nội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thay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đổi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sở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pháp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Giấy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do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kiện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ý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buộc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Văn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phòng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Đăng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ký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đai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chịu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chi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giám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vì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kiện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dịch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chịu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lệ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vấn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đề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cần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rút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kinh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nghiệm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Đối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xin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Huỳnh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Đ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nguyện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Việt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Nam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ngày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24/02/1999.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Năm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2007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cả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hai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cư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Hoa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nhau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con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chung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đã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trưởng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tài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chung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rằng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chung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sống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thường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xảy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mâu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thuẫn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do</w:t>
      </w:r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phù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còn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quan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tâm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thương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nhau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hiện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sống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yêu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mâu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thuẫn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trầm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trọng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mục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đich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đạt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…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nhưng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hồ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chưa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thu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thập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cứ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nào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rằng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đang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ở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Đây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dân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thuộc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trường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“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dân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tiến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hòa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”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182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Bộ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dân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trước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xét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Tòa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tiến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hòa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180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Bộ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dân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54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hôn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mới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tắc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hòa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giữa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vi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phạm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nêu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Mặt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xét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xử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Tòa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triệu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T (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em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V)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nhưng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ghi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T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tư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V,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đúng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195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Bộ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dân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Đối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nói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đang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vợ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chồng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Võ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Văn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P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Nguyễn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Kim C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thế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ngày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15/10/2012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vay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tiền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tỷ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10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năm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suất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14</w:t>
      </w:r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,99</w:t>
      </w:r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%/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năm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87F9B" w:rsidRPr="00487F9B" w:rsidRDefault="00487F9B" w:rsidP="00487F9B">
      <w:pPr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vậy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ngân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Văn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phòng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chứng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xác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đương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tư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nghĩa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liên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quan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47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Họ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49,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Điều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52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nhưng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trình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vụ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Tòa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họ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thiếu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sót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ảnh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hưởng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trọng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đến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quyền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ích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pháp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họ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Đây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vi</w:t>
      </w:r>
      <w:proofErr w:type="gram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phạm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nghiêm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trọng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Luật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tố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tụng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hành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chính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mà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cấp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phúc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bổ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sung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nên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cần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phải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hủy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bản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thẩm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lại</w:t>
      </w:r>
      <w:proofErr w:type="spellEnd"/>
      <w:r w:rsidRPr="00487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2500F" w:rsidRDefault="0002500F">
      <w:pPr>
        <w:rPr>
          <w:rFonts w:ascii="Times New Roman" w:hAnsi="Times New Roman"/>
          <w:sz w:val="28"/>
          <w:szCs w:val="28"/>
        </w:rPr>
      </w:pPr>
    </w:p>
    <w:p w:rsidR="00487F9B" w:rsidRPr="00487F9B" w:rsidRDefault="00487F9B">
      <w:pPr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Hyperlink"/>
          </w:rPr>
          <w:t>https://vksndtc.gov.vn/tin-chi-tiet-5795</w:t>
        </w:r>
      </w:hyperlink>
      <w:bookmarkStart w:id="0" w:name="_GoBack"/>
      <w:bookmarkEnd w:id="0"/>
    </w:p>
    <w:sectPr w:rsidR="00487F9B" w:rsidRPr="00487F9B" w:rsidSect="00D20256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0DDE"/>
    <w:multiLevelType w:val="multilevel"/>
    <w:tmpl w:val="6478B5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64"/>
    <w:rsid w:val="0002500F"/>
    <w:rsid w:val="00487F9B"/>
    <w:rsid w:val="00706564"/>
    <w:rsid w:val="009A1F95"/>
    <w:rsid w:val="009B13FF"/>
    <w:rsid w:val="00D2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95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F95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F95"/>
    <w:pPr>
      <w:keepNext/>
      <w:numPr>
        <w:ilvl w:val="1"/>
        <w:numId w:val="9"/>
      </w:numPr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F95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1F95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F95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1F95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1F9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F9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F9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9B13FF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9A1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A1F9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1F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F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F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1F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A1F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B13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uiPriority w:val="22"/>
    <w:qFormat/>
    <w:rsid w:val="009A1F95"/>
    <w:rPr>
      <w:b/>
      <w:bCs/>
    </w:rPr>
  </w:style>
  <w:style w:type="character" w:styleId="Emphasis">
    <w:name w:val="Emphasis"/>
    <w:uiPriority w:val="20"/>
    <w:qFormat/>
    <w:rsid w:val="009B13FF"/>
    <w:rPr>
      <w:i/>
      <w:iCs/>
    </w:rPr>
  </w:style>
  <w:style w:type="paragraph" w:styleId="ListParagraph">
    <w:name w:val="List Paragraph"/>
    <w:basedOn w:val="Normal"/>
    <w:qFormat/>
    <w:rsid w:val="009A1F95"/>
    <w:pPr>
      <w:spacing w:line="276" w:lineRule="auto"/>
      <w:ind w:left="720"/>
      <w:contextualSpacing/>
    </w:pPr>
    <w:rPr>
      <w:rFonts w:ascii="Times New Roman" w:hAnsi="Times New Roman"/>
    </w:rPr>
  </w:style>
  <w:style w:type="paragraph" w:customStyle="1" w:styleId="ListParagraph1">
    <w:name w:val="List Paragraph1"/>
    <w:aliases w:val="head 2"/>
    <w:basedOn w:val="Normal"/>
    <w:qFormat/>
    <w:rsid w:val="009A1F95"/>
    <w:pPr>
      <w:ind w:left="720"/>
    </w:pPr>
    <w:rPr>
      <w:rFonts w:ascii="Times New Roman" w:hAnsi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F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87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95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F95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F95"/>
    <w:pPr>
      <w:keepNext/>
      <w:numPr>
        <w:ilvl w:val="1"/>
        <w:numId w:val="9"/>
      </w:numPr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F95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1F95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F95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1F95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A1F9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F9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F9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9B13FF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9A1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A1F9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A1F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F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F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1F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A1F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B13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uiPriority w:val="22"/>
    <w:qFormat/>
    <w:rsid w:val="009A1F95"/>
    <w:rPr>
      <w:b/>
      <w:bCs/>
    </w:rPr>
  </w:style>
  <w:style w:type="character" w:styleId="Emphasis">
    <w:name w:val="Emphasis"/>
    <w:uiPriority w:val="20"/>
    <w:qFormat/>
    <w:rsid w:val="009B13FF"/>
    <w:rPr>
      <w:i/>
      <w:iCs/>
    </w:rPr>
  </w:style>
  <w:style w:type="paragraph" w:styleId="ListParagraph">
    <w:name w:val="List Paragraph"/>
    <w:basedOn w:val="Normal"/>
    <w:qFormat/>
    <w:rsid w:val="009A1F95"/>
    <w:pPr>
      <w:spacing w:line="276" w:lineRule="auto"/>
      <w:ind w:left="720"/>
      <w:contextualSpacing/>
    </w:pPr>
    <w:rPr>
      <w:rFonts w:ascii="Times New Roman" w:hAnsi="Times New Roman"/>
    </w:rPr>
  </w:style>
  <w:style w:type="paragraph" w:customStyle="1" w:styleId="ListParagraph1">
    <w:name w:val="List Paragraph1"/>
    <w:aliases w:val="head 2"/>
    <w:basedOn w:val="Normal"/>
    <w:qFormat/>
    <w:rsid w:val="009A1F95"/>
    <w:pPr>
      <w:ind w:left="720"/>
    </w:pPr>
    <w:rPr>
      <w:rFonts w:ascii="Times New Roman" w:hAnsi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F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87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2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7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61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sndtc.gov.vn/tin-chi-tiet-5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2020-04-17T09:08:00Z</dcterms:created>
  <dcterms:modified xsi:type="dcterms:W3CDTF">2020-04-17T09:09:00Z</dcterms:modified>
</cp:coreProperties>
</file>